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shd w:val="clear" w:color="auto" w:fill="FFFFFF"/>
        <w:tblLook w:val="01E0" w:firstRow="1" w:lastRow="1" w:firstColumn="1" w:lastColumn="1" w:noHBand="0" w:noVBand="0"/>
      </w:tblPr>
      <w:tblGrid>
        <w:gridCol w:w="4607"/>
        <w:gridCol w:w="4886"/>
      </w:tblGrid>
      <w:tr w:rsidR="00721D0B" w:rsidRPr="00721D0B" w14:paraId="5EEA4DB3" w14:textId="77777777" w:rsidTr="00501B71">
        <w:tc>
          <w:tcPr>
            <w:tcW w:w="4607" w:type="dxa"/>
            <w:shd w:val="clear" w:color="auto" w:fill="FFFFFF"/>
          </w:tcPr>
          <w:p w14:paraId="3ABE2EE7" w14:textId="47C2024E" w:rsidR="00AF54A0" w:rsidRPr="00603D61" w:rsidRDefault="00625AEF" w:rsidP="00603D61">
            <w:pPr>
              <w:pStyle w:val="Heading1"/>
            </w:pPr>
            <w:r w:rsidRPr="00603D61">
              <w:t>ỦY BAN NHÂN DÂN</w:t>
            </w:r>
          </w:p>
        </w:tc>
        <w:tc>
          <w:tcPr>
            <w:tcW w:w="4886" w:type="dxa"/>
            <w:shd w:val="clear" w:color="auto" w:fill="FFFFFF"/>
          </w:tcPr>
          <w:p w14:paraId="2D1A242B" w14:textId="77777777" w:rsidR="00AF54A0" w:rsidRPr="00603D61" w:rsidRDefault="00AF54A0" w:rsidP="00501B71">
            <w:pPr>
              <w:pStyle w:val="Heading5"/>
              <w:ind w:left="-166" w:right="-168"/>
              <w:jc w:val="center"/>
            </w:pPr>
            <w:r w:rsidRPr="00603D61">
              <w:t>CỘNG HÒA XÃ HỘI CHỦ NGHĨA VIỆT NAM</w:t>
            </w:r>
          </w:p>
        </w:tc>
      </w:tr>
      <w:tr w:rsidR="00721D0B" w:rsidRPr="00721D0B" w14:paraId="73F108D9" w14:textId="77777777" w:rsidTr="00501B71">
        <w:tc>
          <w:tcPr>
            <w:tcW w:w="4607" w:type="dxa"/>
            <w:shd w:val="clear" w:color="auto" w:fill="FFFFFF"/>
          </w:tcPr>
          <w:p w14:paraId="5DB3C230" w14:textId="44025D57" w:rsidR="00AF54A0" w:rsidRPr="00603D61" w:rsidRDefault="00625AEF" w:rsidP="00501B71">
            <w:pPr>
              <w:ind w:left="-90" w:right="-93"/>
              <w:jc w:val="center"/>
              <w:rPr>
                <w:b/>
                <w:spacing w:val="-12"/>
                <w:sz w:val="28"/>
                <w:szCs w:val="28"/>
              </w:rPr>
            </w:pPr>
            <w:r w:rsidRPr="00603D61">
              <w:rPr>
                <w:b/>
                <w:sz w:val="28"/>
                <w:szCs w:val="28"/>
              </w:rPr>
              <w:t>TỈNH ĐỒNG THÁP</w:t>
            </w:r>
          </w:p>
        </w:tc>
        <w:tc>
          <w:tcPr>
            <w:tcW w:w="4886" w:type="dxa"/>
            <w:shd w:val="clear" w:color="auto" w:fill="FFFFFF"/>
          </w:tcPr>
          <w:p w14:paraId="542D966F" w14:textId="77777777" w:rsidR="00AF54A0" w:rsidRPr="00603D61" w:rsidRDefault="00AF54A0" w:rsidP="00501B71">
            <w:pPr>
              <w:ind w:right="-168"/>
              <w:jc w:val="center"/>
              <w:rPr>
                <w:b/>
                <w:sz w:val="28"/>
                <w:szCs w:val="28"/>
              </w:rPr>
            </w:pPr>
            <w:r w:rsidRPr="00603D61">
              <w:rPr>
                <w:b/>
                <w:sz w:val="28"/>
                <w:szCs w:val="28"/>
              </w:rPr>
              <w:t>Độc lập - Tự do - Hạnh phúc</w:t>
            </w:r>
          </w:p>
        </w:tc>
      </w:tr>
      <w:tr w:rsidR="00AF54A0" w:rsidRPr="00721D0B" w14:paraId="0C6415E9" w14:textId="77777777" w:rsidTr="00501B71">
        <w:tc>
          <w:tcPr>
            <w:tcW w:w="4607" w:type="dxa"/>
            <w:shd w:val="clear" w:color="auto" w:fill="FFFFFF"/>
          </w:tcPr>
          <w:p w14:paraId="00ED5596" w14:textId="3836D456" w:rsidR="00AF54A0" w:rsidRPr="00603D61" w:rsidRDefault="00AF54A0" w:rsidP="00501B71">
            <w:pPr>
              <w:spacing w:before="120"/>
              <w:jc w:val="center"/>
              <w:rPr>
                <w:spacing w:val="-8"/>
                <w:sz w:val="28"/>
                <w:szCs w:val="28"/>
              </w:rPr>
            </w:pPr>
            <w:r w:rsidRPr="00603D61">
              <w:rPr>
                <w:noProof/>
                <w:spacing w:val="-8"/>
                <w:sz w:val="28"/>
                <w:szCs w:val="28"/>
              </w:rPr>
              <mc:AlternateContent>
                <mc:Choice Requires="wps">
                  <w:drawing>
                    <wp:anchor distT="0" distB="0" distL="114300" distR="114300" simplePos="0" relativeHeight="251660288" behindDoc="0" locked="0" layoutInCell="1" allowOverlap="1" wp14:anchorId="0F2DC696" wp14:editId="23B34C6F">
                      <wp:simplePos x="0" y="0"/>
                      <wp:positionH relativeFrom="column">
                        <wp:posOffset>1019810</wp:posOffset>
                      </wp:positionH>
                      <wp:positionV relativeFrom="paragraph">
                        <wp:posOffset>35560</wp:posOffset>
                      </wp:positionV>
                      <wp:extent cx="603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AB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pt,2.8pt" to="127.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"/>
                  </w:pict>
                </mc:Fallback>
              </mc:AlternateContent>
            </w:r>
            <w:r w:rsidRPr="00603D61">
              <w:rPr>
                <w:spacing w:val="-8"/>
                <w:sz w:val="28"/>
                <w:szCs w:val="28"/>
              </w:rPr>
              <w:t xml:space="preserve">Số:  </w:t>
            </w:r>
            <w:r w:rsidR="00625AEF" w:rsidRPr="00603D61">
              <w:rPr>
                <w:spacing w:val="-8"/>
                <w:sz w:val="28"/>
                <w:szCs w:val="28"/>
              </w:rPr>
              <w:t xml:space="preserve">      </w:t>
            </w:r>
            <w:r w:rsidRPr="00603D61">
              <w:rPr>
                <w:spacing w:val="-8"/>
                <w:sz w:val="28"/>
                <w:szCs w:val="28"/>
              </w:rPr>
              <w:t>/BC-</w:t>
            </w:r>
            <w:r w:rsidR="00625AEF" w:rsidRPr="00603D61">
              <w:rPr>
                <w:spacing w:val="-8"/>
                <w:sz w:val="28"/>
                <w:szCs w:val="28"/>
              </w:rPr>
              <w:t>UBND</w:t>
            </w:r>
          </w:p>
        </w:tc>
        <w:tc>
          <w:tcPr>
            <w:tcW w:w="4886" w:type="dxa"/>
            <w:shd w:val="clear" w:color="auto" w:fill="FFFFFF"/>
          </w:tcPr>
          <w:p w14:paraId="2BF90C92" w14:textId="2729C6E5" w:rsidR="00AF54A0" w:rsidRPr="00603D61" w:rsidRDefault="00423DDE" w:rsidP="00501B71">
            <w:pPr>
              <w:spacing w:before="120"/>
              <w:jc w:val="center"/>
              <w:rPr>
                <w:i/>
              </w:rPr>
            </w:pPr>
            <w:r w:rsidRPr="00603D61">
              <w:rPr>
                <w:i/>
                <w:noProof/>
              </w:rPr>
              <mc:AlternateContent>
                <mc:Choice Requires="wps">
                  <w:drawing>
                    <wp:anchor distT="0" distB="0" distL="114300" distR="114300" simplePos="0" relativeHeight="251664384" behindDoc="0" locked="0" layoutInCell="1" allowOverlap="1" wp14:anchorId="2EDDEAF4" wp14:editId="40FDCF48">
                      <wp:simplePos x="0" y="0"/>
                      <wp:positionH relativeFrom="column">
                        <wp:posOffset>480695</wp:posOffset>
                      </wp:positionH>
                      <wp:positionV relativeFrom="paragraph">
                        <wp:posOffset>7620</wp:posOffset>
                      </wp:positionV>
                      <wp:extent cx="2101850" cy="0"/>
                      <wp:effectExtent l="0" t="0" r="0" b="0"/>
                      <wp:wrapNone/>
                      <wp:docPr id="79629212" name="Straight Connector 6"/>
                      <wp:cNvGraphicFramePr/>
                      <a:graphic xmlns:a="http://schemas.openxmlformats.org/drawingml/2006/main">
                        <a:graphicData uri="http://schemas.microsoft.com/office/word/2010/wordprocessingShape">
                          <wps:wsp>
                            <wps:cNvCnPr/>
                            <wps:spPr>
                              <a:xfrm>
                                <a:off x="0" y="0"/>
                                <a:ext cx="21018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23F68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85pt,.6pt" to="20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" strokecolor="black [3200]" strokeweight="1pt">
                      <v:stroke joinstyle="miter"/>
                    </v:line>
                  </w:pict>
                </mc:Fallback>
              </mc:AlternateContent>
            </w:r>
            <w:r w:rsidR="00A64B1E" w:rsidRPr="00603D61">
              <w:rPr>
                <w:i/>
              </w:rPr>
              <w:t>Đồng Tháp</w:t>
            </w:r>
            <w:r w:rsidR="00AF54A0" w:rsidRPr="00603D61">
              <w:rPr>
                <w:i/>
              </w:rPr>
              <w:t>, ngày</w:t>
            </w:r>
            <w:r w:rsidR="00B2309C" w:rsidRPr="00603D61">
              <w:rPr>
                <w:i/>
              </w:rPr>
              <w:t xml:space="preserve"> </w:t>
            </w:r>
            <w:r w:rsidR="00721D0B" w:rsidRPr="00603D61">
              <w:rPr>
                <w:i/>
              </w:rPr>
              <w:t>19</w:t>
            </w:r>
            <w:r w:rsidR="00B2309C" w:rsidRPr="00603D61">
              <w:rPr>
                <w:i/>
              </w:rPr>
              <w:t xml:space="preserve"> </w:t>
            </w:r>
            <w:r w:rsidR="00AF54A0" w:rsidRPr="00603D61">
              <w:rPr>
                <w:i/>
              </w:rPr>
              <w:t xml:space="preserve">tháng </w:t>
            </w:r>
            <w:r w:rsidR="00721D0B" w:rsidRPr="00603D61">
              <w:rPr>
                <w:i/>
              </w:rPr>
              <w:t>4</w:t>
            </w:r>
            <w:r w:rsidR="00AF54A0" w:rsidRPr="00603D61">
              <w:rPr>
                <w:i/>
              </w:rPr>
              <w:t xml:space="preserve"> năm 202</w:t>
            </w:r>
            <w:r w:rsidR="00D60493" w:rsidRPr="00603D61">
              <w:rPr>
                <w:i/>
              </w:rPr>
              <w:t>6</w:t>
            </w:r>
          </w:p>
        </w:tc>
      </w:tr>
    </w:tbl>
    <w:p w14:paraId="76A93497" w14:textId="77984E82" w:rsidR="00AF54A0" w:rsidRPr="00721D0B" w:rsidRDefault="00AF54A0" w:rsidP="00AF54A0">
      <w:pPr>
        <w:spacing w:before="120"/>
        <w:rPr>
          <w:color w:val="EE0000"/>
          <w:sz w:val="12"/>
          <w:szCs w:val="28"/>
        </w:rPr>
      </w:pPr>
    </w:p>
    <w:p w14:paraId="0823519D" w14:textId="77777777" w:rsidR="00AF54A0" w:rsidRPr="00721D0B" w:rsidRDefault="00AF54A0" w:rsidP="00AF54A0">
      <w:pPr>
        <w:spacing w:before="120" w:after="120"/>
        <w:ind w:firstLine="567"/>
        <w:jc w:val="both"/>
        <w:rPr>
          <w:color w:val="EE0000"/>
          <w:sz w:val="2"/>
          <w:szCs w:val="28"/>
        </w:rPr>
      </w:pPr>
    </w:p>
    <w:p w14:paraId="45C0D148" w14:textId="77777777" w:rsidR="00721D0B" w:rsidRPr="00603D61" w:rsidRDefault="00625AEF" w:rsidP="00721D0B">
      <w:pPr>
        <w:jc w:val="center"/>
        <w:rPr>
          <w:b/>
          <w:sz w:val="28"/>
          <w:szCs w:val="28"/>
        </w:rPr>
      </w:pPr>
      <w:r w:rsidRPr="00603D61">
        <w:rPr>
          <w:b/>
          <w:bCs/>
          <w:sz w:val="28"/>
          <w:szCs w:val="28"/>
        </w:rPr>
        <w:t>BÁO CÁO</w:t>
      </w:r>
      <w:r w:rsidR="00596593" w:rsidRPr="00603D61">
        <w:rPr>
          <w:b/>
          <w:bCs/>
          <w:sz w:val="28"/>
          <w:szCs w:val="28"/>
        </w:rPr>
        <w:br/>
      </w:r>
      <w:r w:rsidRPr="00603D61">
        <w:rPr>
          <w:b/>
          <w:sz w:val="28"/>
          <w:szCs w:val="28"/>
        </w:rPr>
        <w:t xml:space="preserve">Tình hình triển khai </w:t>
      </w:r>
      <w:r w:rsidR="00721D0B" w:rsidRPr="00603D61">
        <w:rPr>
          <w:b/>
          <w:sz w:val="28"/>
          <w:szCs w:val="28"/>
        </w:rPr>
        <w:t xml:space="preserve">thực hiện Nghị định số 118/2025/NĐ-CP của Chính phủ (đã được sửa đổi, bổ sung tại Nghị định 367/2025/NĐ-CP) về thực hiện </w:t>
      </w:r>
    </w:p>
    <w:p w14:paraId="0389AE5B" w14:textId="77777777" w:rsidR="00721D0B" w:rsidRPr="00603D61" w:rsidRDefault="00721D0B" w:rsidP="00721D0B">
      <w:pPr>
        <w:jc w:val="center"/>
        <w:rPr>
          <w:b/>
          <w:sz w:val="28"/>
          <w:szCs w:val="28"/>
        </w:rPr>
      </w:pPr>
      <w:r w:rsidRPr="00603D61">
        <w:rPr>
          <w:b/>
          <w:sz w:val="28"/>
          <w:szCs w:val="28"/>
        </w:rPr>
        <w:t xml:space="preserve">thủ tục hành chính theo cơ chế một cửa, một cửa liên thông </w:t>
      </w:r>
    </w:p>
    <w:p w14:paraId="5737FD53" w14:textId="112996C5" w:rsidR="00625AEF" w:rsidRPr="00603D61" w:rsidRDefault="00721D0B" w:rsidP="00721D0B">
      <w:pPr>
        <w:jc w:val="center"/>
        <w:rPr>
          <w:b/>
          <w:sz w:val="28"/>
          <w:szCs w:val="28"/>
        </w:rPr>
      </w:pPr>
      <w:r w:rsidRPr="00603D61">
        <w:rPr>
          <w:b/>
          <w:sz w:val="28"/>
          <w:szCs w:val="28"/>
        </w:rPr>
        <w:t>tại Bộ phận Một cửa và Cổng Dịch vụ công quốc gia</w:t>
      </w:r>
    </w:p>
    <w:p w14:paraId="19FE3085" w14:textId="77777777" w:rsidR="00625AEF" w:rsidRPr="00603D61" w:rsidRDefault="00625AEF" w:rsidP="00EB5F53">
      <w:pPr>
        <w:rPr>
          <w:b/>
          <w:bCs/>
          <w:sz w:val="28"/>
          <w:szCs w:val="28"/>
        </w:rPr>
      </w:pPr>
      <w:r w:rsidRPr="00603D61">
        <w:rPr>
          <w:noProof/>
          <w:sz w:val="28"/>
          <w:szCs w:val="28"/>
        </w:rPr>
        <mc:AlternateContent>
          <mc:Choice Requires="wps">
            <w:drawing>
              <wp:anchor distT="0" distB="0" distL="114300" distR="114300" simplePos="0" relativeHeight="251663360" behindDoc="0" locked="0" layoutInCell="1" allowOverlap="1" wp14:anchorId="113F7C8F" wp14:editId="1C1A5FA0">
                <wp:simplePos x="0" y="0"/>
                <wp:positionH relativeFrom="column">
                  <wp:posOffset>2313940</wp:posOffset>
                </wp:positionH>
                <wp:positionV relativeFrom="paragraph">
                  <wp:posOffset>76200</wp:posOffset>
                </wp:positionV>
                <wp:extent cx="12242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2428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AFEFA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2pt,6pt" to="27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" strokecolor="black [3200]" strokeweight="1pt">
                <v:stroke joinstyle="miter"/>
              </v:line>
            </w:pict>
          </mc:Fallback>
        </mc:AlternateContent>
      </w:r>
    </w:p>
    <w:p w14:paraId="727E53DE" w14:textId="48787F74" w:rsidR="00625AEF" w:rsidRPr="00603D61" w:rsidRDefault="00625AEF" w:rsidP="005D6C1A">
      <w:pPr>
        <w:spacing w:before="120"/>
        <w:jc w:val="center"/>
        <w:rPr>
          <w:bCs/>
          <w:sz w:val="28"/>
          <w:szCs w:val="28"/>
        </w:rPr>
      </w:pPr>
      <w:r w:rsidRPr="00603D61">
        <w:rPr>
          <w:bCs/>
          <w:sz w:val="28"/>
          <w:szCs w:val="28"/>
        </w:rPr>
        <w:t>Kính gửi: Bộ Tư pháp</w:t>
      </w:r>
    </w:p>
    <w:p w14:paraId="682C37F6" w14:textId="561F18F7" w:rsidR="002D3E5E" w:rsidRPr="00603D61" w:rsidRDefault="002D3E5E" w:rsidP="00785A9E">
      <w:pPr>
        <w:spacing w:before="360" w:after="60"/>
        <w:ind w:firstLine="567"/>
        <w:jc w:val="both"/>
        <w:rPr>
          <w:spacing w:val="-6"/>
          <w:sz w:val="28"/>
          <w:szCs w:val="28"/>
        </w:rPr>
      </w:pPr>
      <w:r w:rsidRPr="00603D61">
        <w:rPr>
          <w:spacing w:val="-6"/>
          <w:sz w:val="28"/>
          <w:szCs w:val="28"/>
        </w:rPr>
        <w:t xml:space="preserve">Thực hiện Công văn số </w:t>
      </w:r>
      <w:r w:rsidR="00721D0B" w:rsidRPr="00603D61">
        <w:rPr>
          <w:spacing w:val="-6"/>
          <w:sz w:val="28"/>
          <w:szCs w:val="28"/>
        </w:rPr>
        <w:t>2394</w:t>
      </w:r>
      <w:r w:rsidRPr="00603D61">
        <w:rPr>
          <w:spacing w:val="-6"/>
          <w:sz w:val="28"/>
          <w:szCs w:val="28"/>
        </w:rPr>
        <w:t>/BTP-KSTT ngày 1</w:t>
      </w:r>
      <w:r w:rsidR="00721D0B" w:rsidRPr="00603D61">
        <w:rPr>
          <w:spacing w:val="-6"/>
          <w:sz w:val="28"/>
          <w:szCs w:val="28"/>
        </w:rPr>
        <w:t>4</w:t>
      </w:r>
      <w:r w:rsidRPr="00603D61">
        <w:rPr>
          <w:spacing w:val="-6"/>
          <w:sz w:val="28"/>
          <w:szCs w:val="28"/>
        </w:rPr>
        <w:t xml:space="preserve"> tháng </w:t>
      </w:r>
      <w:r w:rsidR="00721D0B" w:rsidRPr="00603D61">
        <w:rPr>
          <w:spacing w:val="-6"/>
          <w:sz w:val="28"/>
          <w:szCs w:val="28"/>
        </w:rPr>
        <w:t>4</w:t>
      </w:r>
      <w:r w:rsidRPr="00603D61">
        <w:rPr>
          <w:spacing w:val="-6"/>
          <w:sz w:val="28"/>
          <w:szCs w:val="28"/>
        </w:rPr>
        <w:t xml:space="preserve"> năm 2026 của Bộ trưởng</w:t>
      </w:r>
      <w:r w:rsidRPr="00603D61">
        <w:rPr>
          <w:sz w:val="28"/>
          <w:szCs w:val="28"/>
        </w:rPr>
        <w:t xml:space="preserve"> </w:t>
      </w:r>
      <w:r w:rsidRPr="00603D61">
        <w:rPr>
          <w:spacing w:val="-6"/>
          <w:sz w:val="28"/>
          <w:szCs w:val="28"/>
        </w:rPr>
        <w:t>Bộ Tư pháp về việc</w:t>
      </w:r>
      <w:r w:rsidR="00721D0B" w:rsidRPr="00603D61">
        <w:rPr>
          <w:spacing w:val="-6"/>
          <w:sz w:val="28"/>
          <w:szCs w:val="28"/>
        </w:rPr>
        <w:t xml:space="preserve"> tổng hợp khó khăn, vướng mắc trong triển khai thực hiện Nghị định</w:t>
      </w:r>
      <w:r w:rsidR="00721D0B" w:rsidRPr="00603D61">
        <w:rPr>
          <w:sz w:val="28"/>
          <w:szCs w:val="28"/>
        </w:rPr>
        <w:t xml:space="preserve"> </w:t>
      </w:r>
      <w:r w:rsidR="00721D0B" w:rsidRPr="00603D61">
        <w:rPr>
          <w:spacing w:val="-6"/>
          <w:sz w:val="28"/>
          <w:szCs w:val="28"/>
        </w:rPr>
        <w:t xml:space="preserve">số 118/2025/NĐ-CP ngày 09 tháng 6 năm 2025 của Chính phủ (đã được sửa đổi, bổ sung </w:t>
      </w:r>
      <w:r w:rsidR="00721D0B" w:rsidRPr="00603D61">
        <w:rPr>
          <w:sz w:val="28"/>
          <w:szCs w:val="28"/>
        </w:rPr>
        <w:t xml:space="preserve">tại Nghị định 367/2025/NĐ-CP ngày 31 tháng 12 năm 2025) về thực hiện thủ tục hành chính (TTHC) theo cơ chế một cửa, một cửa liên thông tại Bộ phận Một cửa </w:t>
      </w:r>
      <w:r w:rsidR="00721D0B" w:rsidRPr="00996038">
        <w:rPr>
          <w:spacing w:val="-12"/>
          <w:sz w:val="28"/>
          <w:szCs w:val="28"/>
        </w:rPr>
        <w:t>và Cổng Dịch vụ công quốc gia</w:t>
      </w:r>
      <w:r w:rsidRPr="00996038">
        <w:rPr>
          <w:spacing w:val="-12"/>
          <w:sz w:val="28"/>
          <w:szCs w:val="28"/>
        </w:rPr>
        <w:t>, Ủy ban nhân dân (UBND) tỉnh Đồng Tháp báo cáo như sau:</w:t>
      </w:r>
    </w:p>
    <w:p w14:paraId="52608D49" w14:textId="77777777"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
          <w:sz w:val="28"/>
          <w:szCs w:val="28"/>
        </w:rPr>
      </w:pPr>
      <w:r w:rsidRPr="00996038">
        <w:rPr>
          <w:b/>
          <w:sz w:val="28"/>
          <w:szCs w:val="28"/>
        </w:rPr>
        <w:t>1. Kết quả thực hiện</w:t>
      </w:r>
    </w:p>
    <w:p w14:paraId="5D190FB8" w14:textId="77777777"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i/>
          <w:iCs/>
          <w:sz w:val="28"/>
          <w:szCs w:val="28"/>
        </w:rPr>
      </w:pPr>
      <w:r w:rsidRPr="00996038">
        <w:rPr>
          <w:bCs/>
          <w:i/>
          <w:iCs/>
          <w:sz w:val="28"/>
          <w:szCs w:val="28"/>
        </w:rPr>
        <w:t>- Trung tâm Phục vụ hành chính công cấp tỉnh:</w:t>
      </w:r>
    </w:p>
    <w:p w14:paraId="257CFCC2" w14:textId="367DD2BD"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996038">
        <w:rPr>
          <w:bCs/>
          <w:sz w:val="28"/>
          <w:szCs w:val="28"/>
        </w:rPr>
        <w:t>+ Trung tâm phục vụ hành chính công, số lượng: 01</w:t>
      </w:r>
    </w:p>
    <w:p w14:paraId="46F95C11" w14:textId="15539A45"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996038">
        <w:rPr>
          <w:bCs/>
          <w:sz w:val="28"/>
          <w:szCs w:val="28"/>
        </w:rPr>
        <w:t>+ Bộ phận Một cửa tại các sở ngành, số lượng: 0</w:t>
      </w:r>
    </w:p>
    <w:p w14:paraId="674DDDDA" w14:textId="47BCFE63"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996038">
        <w:rPr>
          <w:bCs/>
          <w:i/>
          <w:iCs/>
          <w:sz w:val="28"/>
          <w:szCs w:val="28"/>
        </w:rPr>
        <w:t>- Trung tâm Phục vụ hành chính công cấp xã</w:t>
      </w:r>
      <w:r w:rsidRPr="00996038">
        <w:rPr>
          <w:bCs/>
          <w:sz w:val="28"/>
          <w:szCs w:val="28"/>
        </w:rPr>
        <w:t>, số lượng: 102.</w:t>
      </w:r>
    </w:p>
    <w:p w14:paraId="3144E0B1" w14:textId="56607B79" w:rsidR="00721D0B" w:rsidRPr="00996038"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i/>
          <w:iCs/>
          <w:sz w:val="28"/>
          <w:szCs w:val="28"/>
        </w:rPr>
      </w:pPr>
      <w:r w:rsidRPr="00996038">
        <w:rPr>
          <w:bCs/>
          <w:i/>
          <w:iCs/>
          <w:sz w:val="28"/>
          <w:szCs w:val="28"/>
        </w:rPr>
        <w:t>- Số lượng công chức, viên chức làm việc tại Bộ phận Một cửa:</w:t>
      </w:r>
    </w:p>
    <w:p w14:paraId="3A6CC0BD" w14:textId="0F2D2F19" w:rsidR="00721D0B" w:rsidRPr="00A26FA0"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996038">
        <w:rPr>
          <w:bCs/>
          <w:i/>
          <w:iCs/>
          <w:sz w:val="28"/>
          <w:szCs w:val="28"/>
        </w:rPr>
        <w:t>+ Cấp tỉnh:</w:t>
      </w:r>
      <w:r w:rsidR="00F67FB6" w:rsidRPr="00996038">
        <w:rPr>
          <w:bCs/>
          <w:sz w:val="28"/>
          <w:szCs w:val="28"/>
        </w:rPr>
        <w:t xml:space="preserve"> 49 cán bộ, công chức, viên chức, nhân viên</w:t>
      </w:r>
      <w:r w:rsidR="000E2C5D" w:rsidRPr="00996038">
        <w:rPr>
          <w:bCs/>
          <w:sz w:val="28"/>
          <w:szCs w:val="28"/>
        </w:rPr>
        <w:t xml:space="preserve">, gồm: </w:t>
      </w:r>
      <w:r w:rsidR="00F67FB6" w:rsidRPr="00996038">
        <w:rPr>
          <w:bCs/>
          <w:sz w:val="28"/>
          <w:szCs w:val="28"/>
        </w:rPr>
        <w:t xml:space="preserve">10 công chức, viên chức thuộc quyền quản lý của Trung tâm; </w:t>
      </w:r>
      <w:r w:rsidR="00532E1C" w:rsidRPr="00996038">
        <w:rPr>
          <w:bCs/>
          <w:sz w:val="28"/>
          <w:szCs w:val="28"/>
        </w:rPr>
        <w:t xml:space="preserve">35 cán bộ, công chức, viên chức do các cơ quan chuyên môn cấp tỉnh, cơ quan </w:t>
      </w:r>
      <w:r w:rsidR="00996038">
        <w:rPr>
          <w:bCs/>
          <w:sz w:val="28"/>
          <w:szCs w:val="28"/>
        </w:rPr>
        <w:t>T</w:t>
      </w:r>
      <w:r w:rsidR="00532E1C" w:rsidRPr="00996038">
        <w:rPr>
          <w:bCs/>
          <w:sz w:val="28"/>
          <w:szCs w:val="28"/>
        </w:rPr>
        <w:t>rung ương tổ chức theo hệ thống ngành dọc tại địa phương cử đến (Các</w:t>
      </w:r>
      <w:r w:rsidR="00EB4A4B" w:rsidRPr="00996038">
        <w:rPr>
          <w:bCs/>
          <w:sz w:val="28"/>
          <w:szCs w:val="28"/>
        </w:rPr>
        <w:t xml:space="preserve"> Sở; </w:t>
      </w:r>
      <w:r w:rsidR="00F67FB6" w:rsidRPr="00996038">
        <w:rPr>
          <w:bCs/>
          <w:sz w:val="28"/>
          <w:szCs w:val="28"/>
        </w:rPr>
        <w:t xml:space="preserve">Công an </w:t>
      </w:r>
      <w:r w:rsidR="00532E1C" w:rsidRPr="00996038">
        <w:rPr>
          <w:bCs/>
          <w:sz w:val="28"/>
          <w:szCs w:val="28"/>
        </w:rPr>
        <w:t>tỉnh</w:t>
      </w:r>
      <w:r w:rsidR="00F67FB6" w:rsidRPr="00996038">
        <w:rPr>
          <w:bCs/>
          <w:sz w:val="28"/>
          <w:szCs w:val="28"/>
        </w:rPr>
        <w:t xml:space="preserve">; Bảo hiểm xã hội </w:t>
      </w:r>
      <w:r w:rsidR="00532E1C" w:rsidRPr="00996038">
        <w:rPr>
          <w:bCs/>
          <w:sz w:val="28"/>
          <w:szCs w:val="28"/>
        </w:rPr>
        <w:t>tỉnh</w:t>
      </w:r>
      <w:r w:rsidR="00F67FB6" w:rsidRPr="00996038">
        <w:rPr>
          <w:bCs/>
          <w:sz w:val="28"/>
          <w:szCs w:val="28"/>
        </w:rPr>
        <w:t>; Thuế</w:t>
      </w:r>
      <w:r w:rsidR="00532E1C" w:rsidRPr="00996038">
        <w:rPr>
          <w:bCs/>
          <w:sz w:val="28"/>
          <w:szCs w:val="28"/>
        </w:rPr>
        <w:t xml:space="preserve"> tỉnh)</w:t>
      </w:r>
      <w:r w:rsidR="00F67FB6" w:rsidRPr="00996038">
        <w:rPr>
          <w:bCs/>
          <w:sz w:val="28"/>
          <w:szCs w:val="28"/>
        </w:rPr>
        <w:t xml:space="preserve">; </w:t>
      </w:r>
      <w:r w:rsidR="00F67FB6" w:rsidRPr="00A26FA0">
        <w:rPr>
          <w:bCs/>
          <w:sz w:val="28"/>
          <w:szCs w:val="28"/>
        </w:rPr>
        <w:t>04 nhân viên Bưu điện</w:t>
      </w:r>
      <w:r w:rsidR="00532E1C" w:rsidRPr="00A26FA0">
        <w:rPr>
          <w:bCs/>
          <w:sz w:val="28"/>
          <w:szCs w:val="28"/>
        </w:rPr>
        <w:t xml:space="preserve"> thực hiện công việc hỗ trợ hướng dẫn, tiếp nhận hồ sơ và trả kết quả giải quyết TTHC.</w:t>
      </w:r>
    </w:p>
    <w:p w14:paraId="792AF5B6" w14:textId="3E6265C0" w:rsidR="00721D0B" w:rsidRPr="005D34C3"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color w:val="EE0000"/>
          <w:sz w:val="28"/>
          <w:szCs w:val="28"/>
        </w:rPr>
      </w:pPr>
      <w:r w:rsidRPr="00A26FA0">
        <w:rPr>
          <w:bCs/>
          <w:i/>
          <w:iCs/>
          <w:sz w:val="28"/>
          <w:szCs w:val="28"/>
        </w:rPr>
        <w:t>+ Cấp xã:</w:t>
      </w:r>
      <w:r w:rsidR="005D34C3" w:rsidRPr="00A26FA0">
        <w:rPr>
          <w:bCs/>
          <w:sz w:val="28"/>
          <w:szCs w:val="28"/>
        </w:rPr>
        <w:t xml:space="preserve"> 896 cán bộ, công chức, viên chức, nhân viên, gồm: 749 công chức, viên chức thuộc quyền quản lý của Trung tâm; 127 công chức, viên chức của các </w:t>
      </w:r>
      <w:r w:rsidR="005D34C3" w:rsidRPr="00A26FA0">
        <w:rPr>
          <w:bCs/>
          <w:spacing w:val="-4"/>
          <w:sz w:val="28"/>
          <w:szCs w:val="28"/>
        </w:rPr>
        <w:t>phòng chuyên môn, của cơ quan trung ương tổ chức theo hệ thống ngành dọc tại địa phương cử đến thực hiện nhiệm vụ; 20 nhân viên Bưu điện</w:t>
      </w:r>
      <w:r w:rsidR="00A26FA0">
        <w:rPr>
          <w:bCs/>
          <w:spacing w:val="-4"/>
          <w:sz w:val="28"/>
          <w:szCs w:val="28"/>
        </w:rPr>
        <w:t>, doanh nghiệp cung ứng dịch vụ</w:t>
      </w:r>
      <w:r w:rsidR="005D34C3" w:rsidRPr="00A26FA0">
        <w:rPr>
          <w:bCs/>
          <w:spacing w:val="-4"/>
          <w:sz w:val="28"/>
          <w:szCs w:val="28"/>
        </w:rPr>
        <w:t xml:space="preserve"> thực hiện công việc hỗ trợ</w:t>
      </w:r>
      <w:r w:rsidR="005D34C3" w:rsidRPr="00A26FA0">
        <w:rPr>
          <w:bCs/>
          <w:sz w:val="28"/>
          <w:szCs w:val="28"/>
        </w:rPr>
        <w:t xml:space="preserve"> nghiệp vụ tại Bộ phận Một cửa.</w:t>
      </w:r>
    </w:p>
    <w:p w14:paraId="4C539492" w14:textId="495D063E" w:rsidR="00421972" w:rsidRPr="005830F1"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5830F1">
        <w:rPr>
          <w:bCs/>
          <w:i/>
          <w:iCs/>
          <w:sz w:val="28"/>
          <w:szCs w:val="28"/>
        </w:rPr>
        <w:t>- Bố trí trụ sở, trang thiết bị B</w:t>
      </w:r>
      <w:r w:rsidR="005830F1">
        <w:rPr>
          <w:bCs/>
          <w:i/>
          <w:iCs/>
          <w:sz w:val="28"/>
          <w:szCs w:val="28"/>
        </w:rPr>
        <w:t>ộ phận Một cửa</w:t>
      </w:r>
      <w:r w:rsidRPr="005830F1">
        <w:rPr>
          <w:bCs/>
          <w:i/>
          <w:iCs/>
          <w:sz w:val="28"/>
          <w:szCs w:val="28"/>
        </w:rPr>
        <w:t>:</w:t>
      </w:r>
      <w:r w:rsidRPr="005830F1">
        <w:rPr>
          <w:bCs/>
          <w:sz w:val="28"/>
          <w:szCs w:val="28"/>
        </w:rPr>
        <w:t xml:space="preserve"> </w:t>
      </w:r>
    </w:p>
    <w:p w14:paraId="76A111C4" w14:textId="475ECFF7" w:rsidR="00421972" w:rsidRPr="00421972" w:rsidRDefault="00421972"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421972">
        <w:rPr>
          <w:bCs/>
          <w:sz w:val="28"/>
          <w:szCs w:val="28"/>
        </w:rPr>
        <w:t>Hầu hết trụ sở Trung tâm Phục vụ hành chính công trên địa bàn tỉnh cơ bản đáp ứng, nhiều đơn vị đáp ứng tốt yêu cầu về nơi làm việc và phục vụ người dân, doanh nghiệp. 100% đơn vị đã được trang bị cơ bản, nhiều nơi được đầu tư</w:t>
      </w:r>
      <w:r w:rsidR="00E8018D">
        <w:rPr>
          <w:bCs/>
          <w:sz w:val="28"/>
          <w:szCs w:val="28"/>
        </w:rPr>
        <w:t xml:space="preserve"> khá</w:t>
      </w:r>
      <w:r w:rsidRPr="00421972">
        <w:rPr>
          <w:bCs/>
          <w:sz w:val="28"/>
          <w:szCs w:val="28"/>
        </w:rPr>
        <w:t xml:space="preserve"> đầy đủ các trang thiết bị cần thiết</w:t>
      </w:r>
      <w:r w:rsidR="005830F1" w:rsidRPr="005830F1">
        <w:rPr>
          <w:bCs/>
          <w:sz w:val="28"/>
          <w:szCs w:val="28"/>
        </w:rPr>
        <w:t>, hiện đại</w:t>
      </w:r>
      <w:r w:rsidRPr="00421972">
        <w:rPr>
          <w:bCs/>
          <w:sz w:val="28"/>
          <w:szCs w:val="28"/>
        </w:rPr>
        <w:t xml:space="preserve"> </w:t>
      </w:r>
      <w:r w:rsidRPr="005830F1">
        <w:rPr>
          <w:bCs/>
          <w:sz w:val="28"/>
          <w:szCs w:val="28"/>
        </w:rPr>
        <w:t xml:space="preserve">theo quy định </w:t>
      </w:r>
      <w:r w:rsidRPr="00421972">
        <w:rPr>
          <w:bCs/>
          <w:sz w:val="28"/>
          <w:szCs w:val="28"/>
        </w:rPr>
        <w:t xml:space="preserve">để thực hiện nhiệm vụ, bảo </w:t>
      </w:r>
      <w:r w:rsidRPr="00421972">
        <w:rPr>
          <w:bCs/>
          <w:sz w:val="28"/>
          <w:szCs w:val="28"/>
        </w:rPr>
        <w:lastRenderedPageBreak/>
        <w:t xml:space="preserve">đảm hoạt động tiếp nhận, giải quyết </w:t>
      </w:r>
      <w:r w:rsidR="005830F1">
        <w:rPr>
          <w:bCs/>
          <w:sz w:val="28"/>
          <w:szCs w:val="28"/>
        </w:rPr>
        <w:t xml:space="preserve">TTHC </w:t>
      </w:r>
      <w:r w:rsidRPr="00421972">
        <w:rPr>
          <w:bCs/>
          <w:sz w:val="28"/>
          <w:szCs w:val="28"/>
        </w:rPr>
        <w:t>thông suốt, hiệu quả.</w:t>
      </w:r>
    </w:p>
    <w:p w14:paraId="1C33909B" w14:textId="44C69CD2" w:rsidR="00421972" w:rsidRPr="00421972" w:rsidRDefault="00421972"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421972">
        <w:rPr>
          <w:bCs/>
          <w:sz w:val="28"/>
          <w:szCs w:val="28"/>
        </w:rPr>
        <w:t>Nhằm tiếp tục nâng cao chất lượng phục vụ, tỉnh đang</w:t>
      </w:r>
      <w:r w:rsidRPr="005830F1">
        <w:rPr>
          <w:bCs/>
          <w:sz w:val="28"/>
          <w:szCs w:val="28"/>
        </w:rPr>
        <w:t xml:space="preserve"> tiếp tục</w:t>
      </w:r>
      <w:r w:rsidRPr="00421972">
        <w:rPr>
          <w:bCs/>
          <w:sz w:val="28"/>
          <w:szCs w:val="28"/>
        </w:rPr>
        <w:t xml:space="preserve"> chỉ đạo các cơ quan, đơn vị, địa phương rà soát, bổ sung, hoàn thiện và từng bước nâng cấp cơ sở vật chất, trang thiết bị tại Trung tâm Phục vụ hành chính công, đáp ứng ngày càng tốt hơn nhu cầu của người dân và doanh nghiệp</w:t>
      </w:r>
      <w:r w:rsidRPr="005830F1">
        <w:rPr>
          <w:rStyle w:val="FootnoteReference"/>
          <w:b/>
          <w:sz w:val="28"/>
          <w:szCs w:val="28"/>
        </w:rPr>
        <w:footnoteReference w:id="1"/>
      </w:r>
      <w:r w:rsidRPr="00421972">
        <w:rPr>
          <w:b/>
          <w:sz w:val="28"/>
          <w:szCs w:val="28"/>
        </w:rPr>
        <w:t>.</w:t>
      </w:r>
    </w:p>
    <w:p w14:paraId="3FF542EA" w14:textId="62766FF4" w:rsidR="00721D0B" w:rsidRPr="005830F1"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5830F1">
        <w:rPr>
          <w:bCs/>
          <w:i/>
          <w:iCs/>
          <w:sz w:val="28"/>
          <w:szCs w:val="28"/>
        </w:rPr>
        <w:t>- Tỷ lệ B</w:t>
      </w:r>
      <w:r w:rsidR="00E42DFB" w:rsidRPr="005830F1">
        <w:rPr>
          <w:bCs/>
          <w:i/>
          <w:iCs/>
          <w:sz w:val="28"/>
          <w:szCs w:val="28"/>
        </w:rPr>
        <w:t>ộ phận Một cửa</w:t>
      </w:r>
      <w:r w:rsidRPr="005830F1">
        <w:rPr>
          <w:bCs/>
          <w:i/>
          <w:iCs/>
          <w:sz w:val="28"/>
          <w:szCs w:val="28"/>
        </w:rPr>
        <w:t xml:space="preserve"> đã triển khai quy trình số hóa hồ sơ, giấy tờ, kết quả giải</w:t>
      </w:r>
      <w:r w:rsidR="00532E1C" w:rsidRPr="005830F1">
        <w:rPr>
          <w:bCs/>
          <w:i/>
          <w:iCs/>
          <w:sz w:val="28"/>
          <w:szCs w:val="28"/>
        </w:rPr>
        <w:t xml:space="preserve"> </w:t>
      </w:r>
      <w:r w:rsidRPr="005830F1">
        <w:rPr>
          <w:bCs/>
          <w:i/>
          <w:iCs/>
          <w:sz w:val="28"/>
          <w:szCs w:val="28"/>
        </w:rPr>
        <w:t>quyết TTHC:</w:t>
      </w:r>
      <w:r w:rsidRPr="005830F1">
        <w:rPr>
          <w:bCs/>
          <w:sz w:val="28"/>
          <w:szCs w:val="28"/>
        </w:rPr>
        <w:t xml:space="preserve"> </w:t>
      </w:r>
      <w:r w:rsidR="00E42DFB" w:rsidRPr="005830F1">
        <w:rPr>
          <w:bCs/>
          <w:sz w:val="28"/>
          <w:szCs w:val="28"/>
        </w:rPr>
        <w:t>01/01 Trung tâm Phục vụ hành chính công tỉnh và 102/102 Trung tâm Phục vụ hành chính công xã, phường, đạt tỷ lệ 100%</w:t>
      </w:r>
      <w:r w:rsidR="005370F6" w:rsidRPr="005830F1">
        <w:rPr>
          <w:bCs/>
          <w:sz w:val="28"/>
          <w:szCs w:val="28"/>
        </w:rPr>
        <w:t>.</w:t>
      </w:r>
    </w:p>
    <w:p w14:paraId="1D5C8C6C" w14:textId="411B0039" w:rsidR="00721D0B" w:rsidRPr="005830F1"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5830F1">
        <w:rPr>
          <w:bCs/>
          <w:i/>
          <w:iCs/>
          <w:sz w:val="28"/>
          <w:szCs w:val="28"/>
        </w:rPr>
        <w:t xml:space="preserve">- Tỷ lệ số hóa hồ sơ, kết quả giải quyết </w:t>
      </w:r>
      <w:r w:rsidR="007A6D93" w:rsidRPr="005830F1">
        <w:rPr>
          <w:bCs/>
          <w:i/>
          <w:iCs/>
          <w:sz w:val="28"/>
          <w:szCs w:val="28"/>
        </w:rPr>
        <w:t xml:space="preserve">TTHC </w:t>
      </w:r>
      <w:r w:rsidRPr="005830F1">
        <w:rPr>
          <w:bCs/>
          <w:i/>
          <w:iCs/>
          <w:sz w:val="28"/>
          <w:szCs w:val="28"/>
        </w:rPr>
        <w:t>trên tổng số hồ</w:t>
      </w:r>
      <w:r w:rsidR="000333F8" w:rsidRPr="005830F1">
        <w:rPr>
          <w:bCs/>
          <w:i/>
          <w:iCs/>
          <w:sz w:val="28"/>
          <w:szCs w:val="28"/>
        </w:rPr>
        <w:t xml:space="preserve"> </w:t>
      </w:r>
      <w:r w:rsidRPr="005830F1">
        <w:rPr>
          <w:bCs/>
          <w:i/>
          <w:iCs/>
          <w:sz w:val="28"/>
          <w:szCs w:val="28"/>
        </w:rPr>
        <w:t>sơ, kết quả giải quyết TTHC thuộc phạm vi tiếp nhận, giải quyết</w:t>
      </w:r>
      <w:r w:rsidR="00713D9A" w:rsidRPr="00492AA5">
        <w:rPr>
          <w:bCs/>
          <w:i/>
          <w:iCs/>
          <w:sz w:val="28"/>
          <w:szCs w:val="28"/>
        </w:rPr>
        <w:t>:</w:t>
      </w:r>
      <w:r w:rsidR="00713D9A" w:rsidRPr="00492AA5">
        <w:rPr>
          <w:bCs/>
          <w:sz w:val="28"/>
          <w:szCs w:val="28"/>
        </w:rPr>
        <w:t xml:space="preserve"> 9</w:t>
      </w:r>
      <w:r w:rsidR="00492AA5" w:rsidRPr="00492AA5">
        <w:rPr>
          <w:bCs/>
          <w:sz w:val="28"/>
          <w:szCs w:val="28"/>
        </w:rPr>
        <w:t>7,3</w:t>
      </w:r>
      <w:r w:rsidR="00713D9A" w:rsidRPr="00492AA5">
        <w:rPr>
          <w:bCs/>
          <w:sz w:val="28"/>
          <w:szCs w:val="28"/>
        </w:rPr>
        <w:t xml:space="preserve">6% (Năm 2025); </w:t>
      </w:r>
      <w:r w:rsidR="00713D9A" w:rsidRPr="005830F1">
        <w:rPr>
          <w:bCs/>
          <w:sz w:val="28"/>
          <w:szCs w:val="28"/>
        </w:rPr>
        <w:t xml:space="preserve">98,26% (Quý </w:t>
      </w:r>
      <w:r w:rsidR="005830F1">
        <w:rPr>
          <w:bCs/>
          <w:sz w:val="28"/>
          <w:szCs w:val="28"/>
        </w:rPr>
        <w:t>I</w:t>
      </w:r>
      <w:r w:rsidR="00713D9A" w:rsidRPr="005830F1">
        <w:rPr>
          <w:bCs/>
          <w:sz w:val="28"/>
          <w:szCs w:val="28"/>
        </w:rPr>
        <w:t xml:space="preserve"> năm 2026)</w:t>
      </w:r>
      <w:r w:rsidR="005370F6" w:rsidRPr="005830F1">
        <w:rPr>
          <w:bCs/>
          <w:sz w:val="28"/>
          <w:szCs w:val="28"/>
        </w:rPr>
        <w:t>.</w:t>
      </w:r>
    </w:p>
    <w:p w14:paraId="5B4F1E2A" w14:textId="74325674" w:rsidR="00713D9A" w:rsidRPr="005830F1"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pacing w:val="-8"/>
          <w:sz w:val="28"/>
          <w:szCs w:val="28"/>
        </w:rPr>
      </w:pPr>
      <w:r w:rsidRPr="005830F1">
        <w:rPr>
          <w:bCs/>
          <w:i/>
          <w:iCs/>
          <w:spacing w:val="-8"/>
          <w:sz w:val="28"/>
          <w:szCs w:val="28"/>
        </w:rPr>
        <w:t>- Tỷ lệ tái sử dụng giấy tờ số hóa:</w:t>
      </w:r>
      <w:r w:rsidRPr="005830F1">
        <w:rPr>
          <w:bCs/>
          <w:spacing w:val="-8"/>
          <w:sz w:val="28"/>
          <w:szCs w:val="28"/>
        </w:rPr>
        <w:t xml:space="preserve"> </w:t>
      </w:r>
      <w:r w:rsidR="00713D9A" w:rsidRPr="005830F1">
        <w:rPr>
          <w:spacing w:val="-8"/>
          <w:sz w:val="28"/>
          <w:szCs w:val="28"/>
          <w:shd w:val="clear" w:color="auto" w:fill="FFFFFF"/>
        </w:rPr>
        <w:t>94,</w:t>
      </w:r>
      <w:r w:rsidR="00141D87">
        <w:rPr>
          <w:spacing w:val="-8"/>
          <w:sz w:val="28"/>
          <w:szCs w:val="28"/>
          <w:shd w:val="clear" w:color="auto" w:fill="FFFFFF"/>
        </w:rPr>
        <w:t>46</w:t>
      </w:r>
      <w:r w:rsidR="00713D9A" w:rsidRPr="005830F1">
        <w:rPr>
          <w:spacing w:val="-8"/>
          <w:sz w:val="28"/>
          <w:szCs w:val="28"/>
          <w:shd w:val="clear" w:color="auto" w:fill="FFFFFF"/>
        </w:rPr>
        <w:t xml:space="preserve">% (Năm 2025); 96,54% (Quý </w:t>
      </w:r>
      <w:r w:rsidR="003C45BB">
        <w:rPr>
          <w:spacing w:val="-8"/>
          <w:sz w:val="28"/>
          <w:szCs w:val="28"/>
          <w:shd w:val="clear" w:color="auto" w:fill="FFFFFF"/>
        </w:rPr>
        <w:t>I</w:t>
      </w:r>
      <w:r w:rsidR="00713D9A" w:rsidRPr="005830F1">
        <w:rPr>
          <w:spacing w:val="-8"/>
          <w:sz w:val="28"/>
          <w:szCs w:val="28"/>
          <w:shd w:val="clear" w:color="auto" w:fill="FFFFFF"/>
        </w:rPr>
        <w:t xml:space="preserve"> năm 2026)</w:t>
      </w:r>
      <w:r w:rsidR="005370F6" w:rsidRPr="005830F1">
        <w:rPr>
          <w:spacing w:val="-8"/>
          <w:sz w:val="28"/>
          <w:szCs w:val="28"/>
          <w:shd w:val="clear" w:color="auto" w:fill="FFFFFF"/>
        </w:rPr>
        <w:t>.</w:t>
      </w:r>
    </w:p>
    <w:p w14:paraId="19BB6A77" w14:textId="77777777" w:rsidR="003F10AD" w:rsidRPr="003C45BB" w:rsidRDefault="00713D9A"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i/>
          <w:iCs/>
          <w:sz w:val="28"/>
          <w:szCs w:val="28"/>
        </w:rPr>
        <w:t>-</w:t>
      </w:r>
      <w:r w:rsidR="00721D0B" w:rsidRPr="003C45BB">
        <w:rPr>
          <w:bCs/>
          <w:i/>
          <w:iCs/>
          <w:sz w:val="28"/>
          <w:szCs w:val="28"/>
        </w:rPr>
        <w:t xml:space="preserve"> Lưu trữ điện tử đối với hồ sơ TTHC:</w:t>
      </w:r>
      <w:r w:rsidR="00721D0B" w:rsidRPr="003C45BB">
        <w:rPr>
          <w:bCs/>
          <w:sz w:val="28"/>
          <w:szCs w:val="28"/>
        </w:rPr>
        <w:t xml:space="preserve"> </w:t>
      </w:r>
    </w:p>
    <w:p w14:paraId="274A4E3D" w14:textId="77777777" w:rsidR="003F10AD" w:rsidRPr="003C45BB" w:rsidRDefault="006C3EA3"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sz w:val="28"/>
          <w:szCs w:val="28"/>
        </w:rPr>
        <w:t xml:space="preserve">Sau khi thực hiện sắp xếp, sáp nhập và từng bước ổn định tổ chức bộ máy, 100% cơ quan, đơn vị, địa phương trên địa bàn tỉnh đã thực hiện tiếp nhận hồ sơ </w:t>
      </w:r>
      <w:r w:rsidRPr="003C45BB">
        <w:rPr>
          <w:bCs/>
          <w:spacing w:val="-6"/>
          <w:sz w:val="28"/>
          <w:szCs w:val="28"/>
        </w:rPr>
        <w:t>TTHC trên Hệ thống thông tin giải quyết TTHC, bảo đảm hoạt động thông suốt, liên tục,</w:t>
      </w:r>
      <w:r w:rsidRPr="003C45BB">
        <w:rPr>
          <w:bCs/>
          <w:sz w:val="28"/>
          <w:szCs w:val="28"/>
        </w:rPr>
        <w:t xml:space="preserve"> không gián đoạn. </w:t>
      </w:r>
    </w:p>
    <w:p w14:paraId="165A19B6" w14:textId="6DD5D275" w:rsidR="00721D0B" w:rsidRPr="003C45BB" w:rsidRDefault="006C3EA3"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sz w:val="28"/>
          <w:szCs w:val="28"/>
        </w:rPr>
        <w:t>Đồng thời, công tác số hóa, lưu trữ điện tử hồ sơ được quan tâm triển khai đồng bộ;</w:t>
      </w:r>
      <w:r w:rsidR="00D8772F" w:rsidRPr="003C45BB">
        <w:rPr>
          <w:bCs/>
          <w:sz w:val="28"/>
          <w:szCs w:val="28"/>
        </w:rPr>
        <w:t xml:space="preserve"> </w:t>
      </w:r>
      <w:r w:rsidRPr="003C45BB">
        <w:rPr>
          <w:bCs/>
          <w:sz w:val="28"/>
          <w:szCs w:val="28"/>
        </w:rPr>
        <w:t>hồ sơ điện tử được thiết lập, lưu trữ trên hệ thống đạt tỷ lệ 95%</w:t>
      </w:r>
      <w:r w:rsidR="003C45BB">
        <w:rPr>
          <w:bCs/>
          <w:sz w:val="28"/>
          <w:szCs w:val="28"/>
        </w:rPr>
        <w:t xml:space="preserve"> tổng số hồ </w:t>
      </w:r>
      <w:r w:rsidR="003C45BB" w:rsidRPr="003C45BB">
        <w:rPr>
          <w:bCs/>
          <w:spacing w:val="-6"/>
          <w:sz w:val="28"/>
          <w:szCs w:val="28"/>
        </w:rPr>
        <w:t>sơ tiếp nhận</w:t>
      </w:r>
      <w:r w:rsidRPr="003C45BB">
        <w:rPr>
          <w:bCs/>
          <w:spacing w:val="-6"/>
          <w:sz w:val="28"/>
          <w:szCs w:val="28"/>
        </w:rPr>
        <w:t>, góp phần nâng cao hiệu quả quản lý, khai thác dữ liệu và phục vụ giải quyết</w:t>
      </w:r>
      <w:r w:rsidRPr="003C45BB">
        <w:rPr>
          <w:bCs/>
          <w:sz w:val="28"/>
          <w:szCs w:val="28"/>
        </w:rPr>
        <w:t xml:space="preserve"> TTHC cho người dân, doanh nghiệp.</w:t>
      </w:r>
    </w:p>
    <w:p w14:paraId="7F7E15BA" w14:textId="77777777" w:rsidR="006C3EA3" w:rsidRPr="003C45BB"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i/>
          <w:iCs/>
          <w:sz w:val="28"/>
          <w:szCs w:val="28"/>
        </w:rPr>
      </w:pPr>
      <w:r w:rsidRPr="003C45BB">
        <w:rPr>
          <w:bCs/>
          <w:i/>
          <w:iCs/>
          <w:sz w:val="28"/>
          <w:szCs w:val="28"/>
        </w:rPr>
        <w:t>- Thực hiện đổi mới tổ chức quản lý, kết nối, chia sẻ dữ liệu phục vụ</w:t>
      </w:r>
      <w:r w:rsidR="009C1159" w:rsidRPr="003C45BB">
        <w:rPr>
          <w:bCs/>
          <w:i/>
          <w:iCs/>
          <w:sz w:val="28"/>
          <w:szCs w:val="28"/>
        </w:rPr>
        <w:t xml:space="preserve"> </w:t>
      </w:r>
      <w:r w:rsidRPr="003C45BB">
        <w:rPr>
          <w:bCs/>
          <w:i/>
          <w:iCs/>
          <w:sz w:val="28"/>
          <w:szCs w:val="28"/>
        </w:rPr>
        <w:t xml:space="preserve">việc đơn giản hoá TTHC: </w:t>
      </w:r>
    </w:p>
    <w:p w14:paraId="68686427" w14:textId="20B19434" w:rsidR="006C3EA3" w:rsidRPr="003C45BB" w:rsidRDefault="004A745D"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pacing w:val="-4"/>
          <w:sz w:val="28"/>
          <w:szCs w:val="28"/>
        </w:rPr>
      </w:pPr>
      <w:r w:rsidRPr="004A745D">
        <w:rPr>
          <w:bCs/>
          <w:sz w:val="28"/>
          <w:szCs w:val="28"/>
        </w:rPr>
        <w:t>Tỉnh đã ban hành đầy đủ, kịp thời các văn bản chỉ đạo triển khai kết nối, khai thác các cơ sở dữ liệu phục vụ thay thế giấy tờ trong giải quyết</w:t>
      </w:r>
      <w:r w:rsidRPr="003C45BB">
        <w:rPr>
          <w:bCs/>
          <w:sz w:val="28"/>
          <w:szCs w:val="28"/>
        </w:rPr>
        <w:t xml:space="preserve"> TTHC</w:t>
      </w:r>
      <w:r w:rsidRPr="004A745D">
        <w:rPr>
          <w:bCs/>
          <w:sz w:val="28"/>
          <w:szCs w:val="28"/>
        </w:rPr>
        <w:t>;</w:t>
      </w:r>
      <w:r w:rsidRPr="004A745D">
        <w:rPr>
          <w:bCs/>
          <w:spacing w:val="-4"/>
          <w:sz w:val="28"/>
          <w:szCs w:val="28"/>
        </w:rPr>
        <w:t xml:space="preserve"> đồng thời đẩy mạnh tái sử dụng thông tin đã được chia sẻ, liên thông nhằm phục vụ người dân, doanh nghiệp nhanh chóng, thuận tiện hơn. Bên cạnh đó, tỉnh chỉ đạo các cơ quan, đơn vị rà soát, đánh giá và đề xuất phương án đơn giản hóa </w:t>
      </w:r>
      <w:r w:rsidRPr="003C45BB">
        <w:rPr>
          <w:bCs/>
          <w:spacing w:val="-4"/>
          <w:sz w:val="28"/>
          <w:szCs w:val="28"/>
        </w:rPr>
        <w:t xml:space="preserve">TTHC </w:t>
      </w:r>
      <w:r w:rsidRPr="004A745D">
        <w:rPr>
          <w:bCs/>
          <w:spacing w:val="-4"/>
          <w:sz w:val="28"/>
          <w:szCs w:val="28"/>
        </w:rPr>
        <w:t>trên nền tảng dữ liệu số, góp phần đổi mới quy trình xử lý hồ sơ, nâng cao hiệu quả quản lý và chất lượng phục vụ</w:t>
      </w:r>
      <w:r w:rsidR="00EC6B4C" w:rsidRPr="003C45BB">
        <w:rPr>
          <w:rStyle w:val="FootnoteReference"/>
          <w:b/>
          <w:spacing w:val="-4"/>
          <w:sz w:val="28"/>
          <w:szCs w:val="28"/>
        </w:rPr>
        <w:footnoteReference w:id="2"/>
      </w:r>
      <w:r w:rsidR="006C3EA3" w:rsidRPr="003C45BB">
        <w:rPr>
          <w:bCs/>
          <w:spacing w:val="-4"/>
          <w:sz w:val="28"/>
          <w:szCs w:val="28"/>
        </w:rPr>
        <w:t>.</w:t>
      </w:r>
    </w:p>
    <w:p w14:paraId="07D70CE7" w14:textId="557D1CA8" w:rsidR="006C3EA3" w:rsidRPr="006C3EA3" w:rsidRDefault="006C3EA3"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6C3EA3">
        <w:rPr>
          <w:bCs/>
          <w:sz w:val="28"/>
          <w:szCs w:val="28"/>
        </w:rPr>
        <w:t>Việc khai thác, sử dụng dữ liệu dùng chung đã góp phần nâng cao hiệu quả giải quyết</w:t>
      </w:r>
      <w:r w:rsidR="001370BF" w:rsidRPr="003C45BB">
        <w:rPr>
          <w:bCs/>
          <w:sz w:val="28"/>
          <w:szCs w:val="28"/>
        </w:rPr>
        <w:t xml:space="preserve"> TTHC</w:t>
      </w:r>
      <w:r w:rsidRPr="006C3EA3">
        <w:rPr>
          <w:bCs/>
          <w:sz w:val="28"/>
          <w:szCs w:val="28"/>
        </w:rPr>
        <w:t xml:space="preserve">, rút ngắn thời gian xử lý hồ sơ, giảm các bước xác minh, đối chiếu thông tin, hạn chế việc yêu cầu người dân, doanh nghiệp cung cấp lại các thông tin đã có trong cơ sở dữ liệu. Qua đó, quy trình tiếp nhận, giải quyết </w:t>
      </w:r>
      <w:r w:rsidR="001E63C2" w:rsidRPr="003C45BB">
        <w:rPr>
          <w:bCs/>
          <w:sz w:val="28"/>
          <w:szCs w:val="28"/>
        </w:rPr>
        <w:t xml:space="preserve">TTHC </w:t>
      </w:r>
      <w:r w:rsidRPr="006C3EA3">
        <w:rPr>
          <w:bCs/>
          <w:sz w:val="28"/>
          <w:szCs w:val="28"/>
        </w:rPr>
        <w:t>ngày càng thuận tiện, minh bạch, tiết kiệm thời gian, chi phí cho tổ chức, cá nhân.</w:t>
      </w:r>
    </w:p>
    <w:p w14:paraId="6016C080" w14:textId="4238C128" w:rsidR="006C3EA3" w:rsidRPr="006C3EA3" w:rsidRDefault="006C3EA3"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6C3EA3">
        <w:rPr>
          <w:bCs/>
          <w:sz w:val="28"/>
          <w:szCs w:val="28"/>
        </w:rPr>
        <w:t xml:space="preserve">Công tác kết nối, chia sẻ dữ liệu cũng tạo nền tảng quan trọng để tỉnh tiếp tục </w:t>
      </w:r>
      <w:r w:rsidRPr="006C3EA3">
        <w:rPr>
          <w:bCs/>
          <w:sz w:val="28"/>
          <w:szCs w:val="28"/>
        </w:rPr>
        <w:lastRenderedPageBreak/>
        <w:t>đẩy mạnh cải cách</w:t>
      </w:r>
      <w:r w:rsidR="001E63C2" w:rsidRPr="003C45BB">
        <w:rPr>
          <w:bCs/>
          <w:sz w:val="28"/>
          <w:szCs w:val="28"/>
        </w:rPr>
        <w:t xml:space="preserve"> TTHC</w:t>
      </w:r>
      <w:r w:rsidRPr="006C3EA3">
        <w:rPr>
          <w:bCs/>
          <w:sz w:val="28"/>
          <w:szCs w:val="28"/>
        </w:rPr>
        <w:t>, nâng cao chất lượng cung cấp dịch vụ công trực tuyến và xây dựng nền hành chính hiện đại, phục vụ.</w:t>
      </w:r>
    </w:p>
    <w:p w14:paraId="2E1B6B88" w14:textId="7562A70F" w:rsidR="00721D0B" w:rsidRPr="003C45BB"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i/>
          <w:iCs/>
          <w:sz w:val="28"/>
          <w:szCs w:val="28"/>
        </w:rPr>
        <w:t>- Thực hiện đồng bộ, liên kết tài khoản của tổ chức, cá nhân:</w:t>
      </w:r>
      <w:r w:rsidRPr="003C45BB">
        <w:rPr>
          <w:bCs/>
          <w:sz w:val="28"/>
          <w:szCs w:val="28"/>
        </w:rPr>
        <w:t xml:space="preserve"> </w:t>
      </w:r>
      <w:r w:rsidR="001E63C2" w:rsidRPr="003C45BB">
        <w:rPr>
          <w:bCs/>
          <w:sz w:val="28"/>
          <w:szCs w:val="28"/>
        </w:rPr>
        <w:t xml:space="preserve">Sau khi thực hiện đóng Cổng Dịch vụ công của tỉnh và chuyển sang tiếp nhận hồ sơ trực tuyến trên Cổng Dịch vụ công quốc gia, tỉnh đã bảo đảm việc kết nối, đồng bộ đầy đủ dữ liệu giữa các hệ thống, bao gồm thông tin hồ sơ, tài khoản của tổ chức, cá nhân và hồ sơ điện tử. Toàn bộ hồ sơ được tiếp nhận trên Hệ thống thông tin giải quyết TTHC của tỉnh đều được cập nhật, liên thông kịp thời lên Cổng Dịch vụ công quốc gia, bảo đảm quá trình tiếp nhận, theo dõi và giải quyết </w:t>
      </w:r>
      <w:r w:rsidR="003C45BB">
        <w:rPr>
          <w:bCs/>
          <w:sz w:val="28"/>
          <w:szCs w:val="28"/>
        </w:rPr>
        <w:t xml:space="preserve">TTHC </w:t>
      </w:r>
      <w:r w:rsidR="001E63C2" w:rsidRPr="003C45BB">
        <w:rPr>
          <w:bCs/>
          <w:sz w:val="28"/>
          <w:szCs w:val="28"/>
        </w:rPr>
        <w:t>diễn ra thông suốt, liên tục, thuận tiện cho người dân và doanh nghiệp.</w:t>
      </w:r>
    </w:p>
    <w:p w14:paraId="08042437" w14:textId="77777777" w:rsidR="003533F7" w:rsidRPr="003C45BB"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i/>
          <w:iCs/>
          <w:sz w:val="28"/>
          <w:szCs w:val="28"/>
        </w:rPr>
        <w:t>- Hợp nhất Cổng D</w:t>
      </w:r>
      <w:r w:rsidR="003533F7" w:rsidRPr="003C45BB">
        <w:rPr>
          <w:bCs/>
          <w:i/>
          <w:iCs/>
          <w:sz w:val="28"/>
          <w:szCs w:val="28"/>
        </w:rPr>
        <w:t>ịch vụ công</w:t>
      </w:r>
      <w:r w:rsidRPr="003C45BB">
        <w:rPr>
          <w:bCs/>
          <w:i/>
          <w:iCs/>
          <w:sz w:val="28"/>
          <w:szCs w:val="28"/>
        </w:rPr>
        <w:t xml:space="preserve"> với H</w:t>
      </w:r>
      <w:r w:rsidR="003533F7" w:rsidRPr="003C45BB">
        <w:rPr>
          <w:bCs/>
          <w:i/>
          <w:iCs/>
          <w:sz w:val="28"/>
          <w:szCs w:val="28"/>
        </w:rPr>
        <w:t>ệ thống thông tin một cửa điện tử</w:t>
      </w:r>
      <w:r w:rsidRPr="003C45BB">
        <w:rPr>
          <w:bCs/>
          <w:i/>
          <w:iCs/>
          <w:sz w:val="28"/>
          <w:szCs w:val="28"/>
        </w:rPr>
        <w:t xml:space="preserve"> để tạo lập H</w:t>
      </w:r>
      <w:r w:rsidR="003533F7" w:rsidRPr="003C45BB">
        <w:rPr>
          <w:bCs/>
          <w:i/>
          <w:iCs/>
          <w:sz w:val="28"/>
          <w:szCs w:val="28"/>
        </w:rPr>
        <w:t>ệ thống thông tin</w:t>
      </w:r>
      <w:r w:rsidRPr="003C45BB">
        <w:rPr>
          <w:bCs/>
          <w:i/>
          <w:iCs/>
          <w:sz w:val="28"/>
          <w:szCs w:val="28"/>
        </w:rPr>
        <w:t xml:space="preserve"> giải quyết</w:t>
      </w:r>
      <w:r w:rsidR="009C1159" w:rsidRPr="003C45BB">
        <w:rPr>
          <w:bCs/>
          <w:i/>
          <w:iCs/>
          <w:sz w:val="28"/>
          <w:szCs w:val="28"/>
        </w:rPr>
        <w:t xml:space="preserve"> </w:t>
      </w:r>
      <w:r w:rsidR="003533F7" w:rsidRPr="003C45BB">
        <w:rPr>
          <w:bCs/>
          <w:i/>
          <w:iCs/>
          <w:sz w:val="28"/>
          <w:szCs w:val="28"/>
        </w:rPr>
        <w:t xml:space="preserve">TTHC: </w:t>
      </w:r>
    </w:p>
    <w:p w14:paraId="25B6375A" w14:textId="3D79D2AD" w:rsidR="003533F7" w:rsidRPr="003533F7" w:rsidRDefault="003533F7"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C45BB">
        <w:rPr>
          <w:bCs/>
          <w:sz w:val="28"/>
          <w:szCs w:val="28"/>
        </w:rPr>
        <w:t xml:space="preserve">Tỉnh </w:t>
      </w:r>
      <w:r w:rsidRPr="003533F7">
        <w:rPr>
          <w:bCs/>
          <w:sz w:val="28"/>
          <w:szCs w:val="28"/>
        </w:rPr>
        <w:t>Đồng Tháp và</w:t>
      </w:r>
      <w:r w:rsidRPr="003C45BB">
        <w:rPr>
          <w:bCs/>
          <w:sz w:val="28"/>
          <w:szCs w:val="28"/>
        </w:rPr>
        <w:t xml:space="preserve"> tỉnh</w:t>
      </w:r>
      <w:r w:rsidRPr="003533F7">
        <w:rPr>
          <w:bCs/>
          <w:sz w:val="28"/>
          <w:szCs w:val="28"/>
        </w:rPr>
        <w:t xml:space="preserve"> Tiền Giang </w:t>
      </w:r>
      <w:r w:rsidRPr="003C45BB">
        <w:rPr>
          <w:bCs/>
          <w:sz w:val="28"/>
          <w:szCs w:val="28"/>
        </w:rPr>
        <w:t>trước sắp xếp đơn vị hành chính</w:t>
      </w:r>
      <w:r w:rsidRPr="003533F7">
        <w:rPr>
          <w:bCs/>
          <w:sz w:val="28"/>
          <w:szCs w:val="28"/>
        </w:rPr>
        <w:t xml:space="preserve"> đều đã </w:t>
      </w:r>
      <w:r w:rsidRPr="003533F7">
        <w:rPr>
          <w:bCs/>
          <w:spacing w:val="-4"/>
          <w:sz w:val="28"/>
          <w:szCs w:val="28"/>
        </w:rPr>
        <w:t>hoàn thành việc hợp nhất Cổng Dịch vụ công với Hệ thống</w:t>
      </w:r>
      <w:r w:rsidRPr="003C45BB">
        <w:rPr>
          <w:bCs/>
          <w:spacing w:val="-4"/>
          <w:sz w:val="28"/>
          <w:szCs w:val="28"/>
        </w:rPr>
        <w:t xml:space="preserve"> thông tin</w:t>
      </w:r>
      <w:r w:rsidRPr="003533F7">
        <w:rPr>
          <w:bCs/>
          <w:spacing w:val="-4"/>
          <w:sz w:val="28"/>
          <w:szCs w:val="28"/>
        </w:rPr>
        <w:t xml:space="preserve"> một cửa điện tử</w:t>
      </w:r>
      <w:r w:rsidRPr="003533F7">
        <w:rPr>
          <w:bCs/>
          <w:sz w:val="28"/>
          <w:szCs w:val="28"/>
        </w:rPr>
        <w:t xml:space="preserve"> để hình thành Hệ thống thông tin giải quyết </w:t>
      </w:r>
      <w:r w:rsidRPr="003C45BB">
        <w:rPr>
          <w:bCs/>
          <w:sz w:val="28"/>
          <w:szCs w:val="28"/>
        </w:rPr>
        <w:t xml:space="preserve">TTHC </w:t>
      </w:r>
      <w:r w:rsidRPr="003533F7">
        <w:rPr>
          <w:bCs/>
          <w:sz w:val="28"/>
          <w:szCs w:val="28"/>
        </w:rPr>
        <w:t>và ban hành quy chế quản lý, vận hành riêng của từng tỉnh</w:t>
      </w:r>
      <w:r w:rsidRPr="003C45BB">
        <w:rPr>
          <w:bCs/>
          <w:sz w:val="28"/>
          <w:szCs w:val="28"/>
        </w:rPr>
        <w:t xml:space="preserve"> theo quy định</w:t>
      </w:r>
      <w:r w:rsidRPr="003C45BB">
        <w:rPr>
          <w:rStyle w:val="FootnoteReference"/>
          <w:b/>
          <w:sz w:val="28"/>
          <w:szCs w:val="28"/>
        </w:rPr>
        <w:footnoteReference w:id="3"/>
      </w:r>
      <w:r w:rsidRPr="003C45BB">
        <w:rPr>
          <w:bCs/>
          <w:sz w:val="28"/>
          <w:szCs w:val="28"/>
        </w:rPr>
        <w:t>.</w:t>
      </w:r>
    </w:p>
    <w:p w14:paraId="5A76435F" w14:textId="52BAF2BB" w:rsidR="003533F7" w:rsidRPr="003533F7" w:rsidRDefault="003533F7"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pacing w:val="-4"/>
          <w:sz w:val="28"/>
          <w:szCs w:val="28"/>
        </w:rPr>
      </w:pPr>
      <w:r w:rsidRPr="004A4726">
        <w:rPr>
          <w:bCs/>
          <w:sz w:val="28"/>
          <w:szCs w:val="28"/>
        </w:rPr>
        <w:t>Sau khi sắp xếp đơn vị hành chính</w:t>
      </w:r>
      <w:r w:rsidRPr="003533F7">
        <w:rPr>
          <w:bCs/>
          <w:sz w:val="28"/>
          <w:szCs w:val="28"/>
        </w:rPr>
        <w:t xml:space="preserve">, trên cơ sở rà soát, đối chiếu các tính năng, chức năng theo quy định và đánh giá khả năng đáp ứng của từng hệ thống, tỉnh đã thống nhất lựa chọn Hệ thống thông tin giải quyết </w:t>
      </w:r>
      <w:r w:rsidRPr="004A4726">
        <w:rPr>
          <w:bCs/>
          <w:sz w:val="28"/>
          <w:szCs w:val="28"/>
        </w:rPr>
        <w:t xml:space="preserve">TTHC </w:t>
      </w:r>
      <w:r w:rsidRPr="003533F7">
        <w:rPr>
          <w:bCs/>
          <w:sz w:val="28"/>
          <w:szCs w:val="28"/>
        </w:rPr>
        <w:t xml:space="preserve">của tỉnh Tiền Giang làm </w:t>
      </w:r>
      <w:r w:rsidRPr="003533F7">
        <w:rPr>
          <w:bCs/>
          <w:spacing w:val="-4"/>
          <w:sz w:val="28"/>
          <w:szCs w:val="28"/>
        </w:rPr>
        <w:t>nền tảng để tiếp tục nâng cấp, điều chỉnh phù hợp với mô hình chính quyền địa phương</w:t>
      </w:r>
      <w:r w:rsidRPr="003533F7">
        <w:rPr>
          <w:bCs/>
          <w:sz w:val="28"/>
          <w:szCs w:val="28"/>
        </w:rPr>
        <w:t xml:space="preserve"> 02 cấp, hình thành Hệ thống thông tin giải quyết </w:t>
      </w:r>
      <w:r w:rsidRPr="008E7F27">
        <w:rPr>
          <w:bCs/>
          <w:sz w:val="28"/>
          <w:szCs w:val="28"/>
        </w:rPr>
        <w:t xml:space="preserve">TTHC </w:t>
      </w:r>
      <w:r w:rsidRPr="003533F7">
        <w:rPr>
          <w:bCs/>
          <w:sz w:val="28"/>
          <w:szCs w:val="28"/>
        </w:rPr>
        <w:t xml:space="preserve">tỉnh Đồng Tháp. Đồng thời, </w:t>
      </w:r>
      <w:r w:rsidRPr="003533F7">
        <w:rPr>
          <w:bCs/>
          <w:spacing w:val="-4"/>
          <w:sz w:val="28"/>
          <w:szCs w:val="28"/>
        </w:rPr>
        <w:t xml:space="preserve">tỉnh đã ban hành Quy chế quản lý, vận hành và khai thác Hệ thống thông tin giải quyết </w:t>
      </w:r>
      <w:r w:rsidRPr="008E7F27">
        <w:rPr>
          <w:bCs/>
          <w:spacing w:val="-4"/>
          <w:sz w:val="28"/>
          <w:szCs w:val="28"/>
        </w:rPr>
        <w:t xml:space="preserve">TTHC </w:t>
      </w:r>
      <w:r w:rsidRPr="003533F7">
        <w:rPr>
          <w:bCs/>
          <w:spacing w:val="-4"/>
          <w:sz w:val="28"/>
          <w:szCs w:val="28"/>
        </w:rPr>
        <w:t>tỉnh Đồng Tháp nhằm bảo đảm hoạt động thống nhất, thông suốt và hiệu quả</w:t>
      </w:r>
      <w:r w:rsidRPr="008E7F27">
        <w:rPr>
          <w:rStyle w:val="FootnoteReference"/>
          <w:b/>
          <w:spacing w:val="-4"/>
          <w:sz w:val="28"/>
          <w:szCs w:val="28"/>
        </w:rPr>
        <w:footnoteReference w:id="4"/>
      </w:r>
      <w:r w:rsidRPr="003533F7">
        <w:rPr>
          <w:bCs/>
          <w:spacing w:val="-4"/>
          <w:sz w:val="28"/>
          <w:szCs w:val="28"/>
        </w:rPr>
        <w:t>.</w:t>
      </w:r>
    </w:p>
    <w:p w14:paraId="7EB535A3" w14:textId="24FB6217" w:rsidR="00721D0B" w:rsidRPr="008E7F27"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E7F27">
        <w:rPr>
          <w:bCs/>
          <w:i/>
          <w:iCs/>
          <w:sz w:val="28"/>
          <w:szCs w:val="28"/>
        </w:rPr>
        <w:t>- Việc kết nối, chia sẻ dữ liệu giữa Hệ thống thông tin giải quyết TTHC cấp</w:t>
      </w:r>
      <w:r w:rsidR="009C1159" w:rsidRPr="008E7F27">
        <w:rPr>
          <w:bCs/>
          <w:i/>
          <w:iCs/>
          <w:sz w:val="28"/>
          <w:szCs w:val="28"/>
        </w:rPr>
        <w:t xml:space="preserve"> </w:t>
      </w:r>
      <w:r w:rsidRPr="008E7F27">
        <w:rPr>
          <w:bCs/>
          <w:i/>
          <w:iCs/>
          <w:sz w:val="28"/>
          <w:szCs w:val="28"/>
        </w:rPr>
        <w:t>tỉnh với các C</w:t>
      </w:r>
      <w:r w:rsidR="002D66F8" w:rsidRPr="008E7F27">
        <w:rPr>
          <w:bCs/>
          <w:i/>
          <w:iCs/>
          <w:sz w:val="28"/>
          <w:szCs w:val="28"/>
        </w:rPr>
        <w:t>ơ sở dữ liệu</w:t>
      </w:r>
      <w:r w:rsidRPr="008E7F27">
        <w:rPr>
          <w:bCs/>
          <w:i/>
          <w:iCs/>
          <w:sz w:val="28"/>
          <w:szCs w:val="28"/>
        </w:rPr>
        <w:t xml:space="preserve"> </w:t>
      </w:r>
      <w:r w:rsidR="002D66F8" w:rsidRPr="008E7F27">
        <w:rPr>
          <w:bCs/>
          <w:i/>
          <w:iCs/>
          <w:sz w:val="28"/>
          <w:szCs w:val="28"/>
        </w:rPr>
        <w:t>Q</w:t>
      </w:r>
      <w:r w:rsidRPr="008E7F27">
        <w:rPr>
          <w:bCs/>
          <w:i/>
          <w:iCs/>
          <w:sz w:val="28"/>
          <w:szCs w:val="28"/>
        </w:rPr>
        <w:t>uốc gia, C</w:t>
      </w:r>
      <w:r w:rsidR="002D66F8" w:rsidRPr="008E7F27">
        <w:rPr>
          <w:bCs/>
          <w:i/>
          <w:iCs/>
          <w:sz w:val="28"/>
          <w:szCs w:val="28"/>
        </w:rPr>
        <w:t>ơ sở dữ liệu</w:t>
      </w:r>
      <w:r w:rsidRPr="008E7F27">
        <w:rPr>
          <w:bCs/>
          <w:i/>
          <w:iCs/>
          <w:sz w:val="28"/>
          <w:szCs w:val="28"/>
        </w:rPr>
        <w:t xml:space="preserve"> chuyên ngành, Hệ thống thông tin giải</w:t>
      </w:r>
      <w:r w:rsidR="009C1159" w:rsidRPr="008E7F27">
        <w:rPr>
          <w:bCs/>
          <w:i/>
          <w:iCs/>
          <w:sz w:val="28"/>
          <w:szCs w:val="28"/>
        </w:rPr>
        <w:t xml:space="preserve"> </w:t>
      </w:r>
      <w:r w:rsidRPr="008E7F27">
        <w:rPr>
          <w:bCs/>
          <w:i/>
          <w:iCs/>
          <w:sz w:val="28"/>
          <w:szCs w:val="28"/>
        </w:rPr>
        <w:t>quyết TTHC của các bộ, ngành và Cổng Dịch vụ công quốc gia:</w:t>
      </w:r>
    </w:p>
    <w:p w14:paraId="732B5737" w14:textId="086723AD" w:rsidR="001342D4" w:rsidRPr="001342D4" w:rsidRDefault="001342D4"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1342D4">
        <w:rPr>
          <w:bCs/>
          <w:sz w:val="28"/>
          <w:szCs w:val="28"/>
        </w:rPr>
        <w:t xml:space="preserve">Tỉnh đã hoàn thành kết nối, liên thông Hệ thống thông tin giải quyết </w:t>
      </w:r>
      <w:r w:rsidRPr="008E7F27">
        <w:rPr>
          <w:bCs/>
          <w:sz w:val="28"/>
          <w:szCs w:val="28"/>
        </w:rPr>
        <w:t xml:space="preserve">TTHC </w:t>
      </w:r>
      <w:r w:rsidRPr="001342D4">
        <w:rPr>
          <w:bCs/>
          <w:sz w:val="28"/>
          <w:szCs w:val="28"/>
        </w:rPr>
        <w:t xml:space="preserve">với nhiều cơ sở dữ liệu, nền tảng và hệ thống dùng chung của Trung ương, phục vụ </w:t>
      </w:r>
      <w:r w:rsidRPr="001342D4">
        <w:rPr>
          <w:bCs/>
          <w:spacing w:val="-8"/>
          <w:sz w:val="28"/>
          <w:szCs w:val="28"/>
        </w:rPr>
        <w:t>hiệu quả công tác tiếp nhận, giải quyết</w:t>
      </w:r>
      <w:r w:rsidRPr="00E8018D">
        <w:rPr>
          <w:bCs/>
          <w:spacing w:val="-8"/>
          <w:sz w:val="28"/>
          <w:szCs w:val="28"/>
        </w:rPr>
        <w:t xml:space="preserve"> TTHC</w:t>
      </w:r>
      <w:r w:rsidRPr="001342D4">
        <w:rPr>
          <w:bCs/>
          <w:spacing w:val="-8"/>
          <w:sz w:val="28"/>
          <w:szCs w:val="28"/>
        </w:rPr>
        <w:t>. Cụ thể gồm: Cổng Dịch vụ công quốc gia;</w:t>
      </w:r>
      <w:r w:rsidRPr="001342D4">
        <w:rPr>
          <w:bCs/>
          <w:sz w:val="28"/>
          <w:szCs w:val="28"/>
        </w:rPr>
        <w:t xml:space="preserve"> </w:t>
      </w:r>
      <w:r w:rsidRPr="008E7F27">
        <w:rPr>
          <w:bCs/>
          <w:sz w:val="28"/>
          <w:szCs w:val="28"/>
        </w:rPr>
        <w:t>C</w:t>
      </w:r>
      <w:r w:rsidRPr="001342D4">
        <w:rPr>
          <w:bCs/>
          <w:sz w:val="28"/>
          <w:szCs w:val="28"/>
        </w:rPr>
        <w:t xml:space="preserve">ơ sở dữ liệu cấp Phiếu lý lịch tư pháp; Hệ thống dịch vụ công liên thông; </w:t>
      </w:r>
      <w:r w:rsidRPr="008E7F27">
        <w:rPr>
          <w:bCs/>
          <w:sz w:val="28"/>
          <w:szCs w:val="28"/>
        </w:rPr>
        <w:t>P</w:t>
      </w:r>
      <w:r w:rsidRPr="001342D4">
        <w:rPr>
          <w:bCs/>
          <w:sz w:val="28"/>
          <w:szCs w:val="28"/>
        </w:rPr>
        <w:t xml:space="preserve">hần mềm quản lý hộ tịch; </w:t>
      </w:r>
      <w:r w:rsidRPr="008E7F27">
        <w:rPr>
          <w:bCs/>
          <w:sz w:val="28"/>
          <w:szCs w:val="28"/>
        </w:rPr>
        <w:t>H</w:t>
      </w:r>
      <w:r w:rsidRPr="001342D4">
        <w:rPr>
          <w:bCs/>
          <w:sz w:val="28"/>
          <w:szCs w:val="28"/>
        </w:rPr>
        <w:t xml:space="preserve">ệ thống thông tin về khuyến mại; Cổng thanh toán Payment Platform; </w:t>
      </w:r>
      <w:r w:rsidRPr="008E7F27">
        <w:rPr>
          <w:bCs/>
          <w:sz w:val="28"/>
          <w:szCs w:val="28"/>
        </w:rPr>
        <w:t>X</w:t>
      </w:r>
      <w:r w:rsidRPr="001342D4">
        <w:rPr>
          <w:bCs/>
          <w:sz w:val="28"/>
          <w:szCs w:val="28"/>
        </w:rPr>
        <w:t xml:space="preserve">ác thực, đăng nhập qua VNeID; Hệ thống giám sát, đo lường mức độ cung cấp và sử dụng dịch vụ Chính phủ số (EMC); </w:t>
      </w:r>
      <w:r w:rsidRPr="008E7F27">
        <w:rPr>
          <w:bCs/>
          <w:sz w:val="28"/>
          <w:szCs w:val="28"/>
        </w:rPr>
        <w:t>C</w:t>
      </w:r>
      <w:r w:rsidRPr="001342D4">
        <w:rPr>
          <w:bCs/>
          <w:sz w:val="28"/>
          <w:szCs w:val="28"/>
        </w:rPr>
        <w:t xml:space="preserve">ơ sở dữ liệu về doanh nghiệp, hộ kinh doanh và hợp tác xã; </w:t>
      </w:r>
      <w:r w:rsidRPr="008E7F27">
        <w:rPr>
          <w:bCs/>
          <w:sz w:val="28"/>
          <w:szCs w:val="28"/>
        </w:rPr>
        <w:t>P</w:t>
      </w:r>
      <w:r w:rsidRPr="001342D4">
        <w:rPr>
          <w:bCs/>
          <w:sz w:val="28"/>
          <w:szCs w:val="28"/>
        </w:rPr>
        <w:t>hần mềm quản lý dữ liệu đất đai cùng một số hệ thống chuyên ngành khác.</w:t>
      </w:r>
    </w:p>
    <w:p w14:paraId="60BDE0F9" w14:textId="274823E1" w:rsidR="001342D4" w:rsidRPr="001342D4" w:rsidRDefault="001342D4"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1342D4">
        <w:rPr>
          <w:bCs/>
          <w:spacing w:val="-6"/>
          <w:sz w:val="28"/>
          <w:szCs w:val="28"/>
        </w:rPr>
        <w:t xml:space="preserve">Đồng thời, tỉnh đã hoàn thành kết nối giai đoạn 1 với Trung tâm </w:t>
      </w:r>
      <w:r w:rsidR="00904630">
        <w:rPr>
          <w:bCs/>
          <w:spacing w:val="-6"/>
          <w:sz w:val="28"/>
          <w:szCs w:val="28"/>
        </w:rPr>
        <w:t>D</w:t>
      </w:r>
      <w:r w:rsidRPr="001342D4">
        <w:rPr>
          <w:bCs/>
          <w:spacing w:val="-6"/>
          <w:sz w:val="28"/>
          <w:szCs w:val="28"/>
        </w:rPr>
        <w:t xml:space="preserve">ữ liệu </w:t>
      </w:r>
      <w:r w:rsidR="00904630">
        <w:rPr>
          <w:bCs/>
          <w:spacing w:val="-6"/>
          <w:sz w:val="28"/>
          <w:szCs w:val="28"/>
        </w:rPr>
        <w:t>q</w:t>
      </w:r>
      <w:r w:rsidRPr="001342D4">
        <w:rPr>
          <w:bCs/>
          <w:spacing w:val="-6"/>
          <w:sz w:val="28"/>
          <w:szCs w:val="28"/>
        </w:rPr>
        <w:t>uốc gia</w:t>
      </w:r>
      <w:r w:rsidRPr="001342D4">
        <w:rPr>
          <w:bCs/>
          <w:sz w:val="28"/>
          <w:szCs w:val="28"/>
        </w:rPr>
        <w:t xml:space="preserve"> thông qua Cổng Dịch vụ công </w:t>
      </w:r>
      <w:r w:rsidR="00E8018D">
        <w:rPr>
          <w:bCs/>
          <w:sz w:val="28"/>
          <w:szCs w:val="28"/>
        </w:rPr>
        <w:t>q</w:t>
      </w:r>
      <w:r w:rsidRPr="001342D4">
        <w:rPr>
          <w:bCs/>
          <w:sz w:val="28"/>
          <w:szCs w:val="28"/>
        </w:rPr>
        <w:t xml:space="preserve">uốc gia do Bộ Công an triển khai; hiện đang tiếp tục phối hợp với Trung tâm </w:t>
      </w:r>
      <w:r w:rsidR="00904630">
        <w:rPr>
          <w:bCs/>
          <w:sz w:val="28"/>
          <w:szCs w:val="28"/>
        </w:rPr>
        <w:t>D</w:t>
      </w:r>
      <w:r w:rsidRPr="001342D4">
        <w:rPr>
          <w:bCs/>
          <w:sz w:val="28"/>
          <w:szCs w:val="28"/>
        </w:rPr>
        <w:t xml:space="preserve">ữ liệu </w:t>
      </w:r>
      <w:r w:rsidR="00904630">
        <w:rPr>
          <w:bCs/>
          <w:sz w:val="28"/>
          <w:szCs w:val="28"/>
        </w:rPr>
        <w:t>q</w:t>
      </w:r>
      <w:r w:rsidRPr="001342D4">
        <w:rPr>
          <w:bCs/>
          <w:sz w:val="28"/>
          <w:szCs w:val="28"/>
        </w:rPr>
        <w:t xml:space="preserve">uốc gia thực hiện kiểm thử các hồ sơ tích hợp, bảo </w:t>
      </w:r>
      <w:r w:rsidRPr="001342D4">
        <w:rPr>
          <w:bCs/>
          <w:sz w:val="28"/>
          <w:szCs w:val="28"/>
        </w:rPr>
        <w:lastRenderedPageBreak/>
        <w:t>đảm điều kiện đưa vào vận hành chính thức theo lộ trình.</w:t>
      </w:r>
    </w:p>
    <w:p w14:paraId="71C22CC9" w14:textId="17FA009B" w:rsidR="009C26BC" w:rsidRPr="008E7F27"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i/>
          <w:iCs/>
          <w:sz w:val="28"/>
          <w:szCs w:val="28"/>
        </w:rPr>
      </w:pPr>
      <w:r w:rsidRPr="008E7F27">
        <w:rPr>
          <w:bCs/>
          <w:i/>
          <w:iCs/>
          <w:sz w:val="28"/>
          <w:szCs w:val="28"/>
        </w:rPr>
        <w:t>- Việc đồng bộ dữ liệu giữa Hệ thống thông tin giải quyết TTHC cấp tỉnh</w:t>
      </w:r>
      <w:r w:rsidR="009C1159" w:rsidRPr="008E7F27">
        <w:rPr>
          <w:bCs/>
          <w:i/>
          <w:iCs/>
          <w:sz w:val="28"/>
          <w:szCs w:val="28"/>
        </w:rPr>
        <w:t xml:space="preserve"> </w:t>
      </w:r>
      <w:r w:rsidRPr="008E7F27">
        <w:rPr>
          <w:bCs/>
          <w:i/>
          <w:iCs/>
          <w:sz w:val="28"/>
          <w:szCs w:val="28"/>
        </w:rPr>
        <w:t xml:space="preserve">với </w:t>
      </w:r>
      <w:r w:rsidRPr="00E8018D">
        <w:rPr>
          <w:rFonts w:ascii="Times New Roman Italic" w:hAnsi="Times New Roman Italic"/>
          <w:bCs/>
          <w:i/>
          <w:iCs/>
          <w:spacing w:val="-6"/>
          <w:sz w:val="28"/>
          <w:szCs w:val="28"/>
        </w:rPr>
        <w:t>Hệ thống thông tin giải quyết TTHC của các Bộ, ngành và Cổng Dịch</w:t>
      </w:r>
      <w:r w:rsidR="009C1159" w:rsidRPr="00E8018D">
        <w:rPr>
          <w:rFonts w:ascii="Times New Roman Italic" w:hAnsi="Times New Roman Italic"/>
          <w:bCs/>
          <w:i/>
          <w:iCs/>
          <w:spacing w:val="-6"/>
          <w:sz w:val="28"/>
          <w:szCs w:val="28"/>
        </w:rPr>
        <w:t xml:space="preserve"> </w:t>
      </w:r>
      <w:r w:rsidRPr="00E8018D">
        <w:rPr>
          <w:rFonts w:ascii="Times New Roman Italic" w:hAnsi="Times New Roman Italic"/>
          <w:bCs/>
          <w:i/>
          <w:iCs/>
          <w:spacing w:val="-6"/>
          <w:sz w:val="28"/>
          <w:szCs w:val="28"/>
        </w:rPr>
        <w:t>vụ công quốc gia</w:t>
      </w:r>
      <w:r w:rsidRPr="008E7F27">
        <w:rPr>
          <w:bCs/>
          <w:i/>
          <w:iCs/>
          <w:sz w:val="28"/>
          <w:szCs w:val="28"/>
        </w:rPr>
        <w:t xml:space="preserve"> trên Trung tâm </w:t>
      </w:r>
      <w:r w:rsidR="00904630">
        <w:rPr>
          <w:bCs/>
          <w:i/>
          <w:iCs/>
          <w:sz w:val="28"/>
          <w:szCs w:val="28"/>
        </w:rPr>
        <w:t>D</w:t>
      </w:r>
      <w:r w:rsidRPr="008E7F27">
        <w:rPr>
          <w:bCs/>
          <w:i/>
          <w:iCs/>
          <w:sz w:val="28"/>
          <w:szCs w:val="28"/>
        </w:rPr>
        <w:t>ữ liệu quốc gia.</w:t>
      </w:r>
    </w:p>
    <w:p w14:paraId="7C97AC81" w14:textId="792CC648" w:rsidR="009C26BC" w:rsidRPr="008E7F27" w:rsidRDefault="009C26B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sz w:val="28"/>
          <w:szCs w:val="28"/>
        </w:rPr>
      </w:pPr>
      <w:r w:rsidRPr="008E7F27">
        <w:rPr>
          <w:sz w:val="28"/>
          <w:szCs w:val="28"/>
        </w:rPr>
        <w:t>Thực hiện Thông báo kết luận số 692/TB-TTDLQG-P4 ngày 12</w:t>
      </w:r>
      <w:r w:rsidR="008E7F27">
        <w:rPr>
          <w:sz w:val="28"/>
          <w:szCs w:val="28"/>
        </w:rPr>
        <w:t xml:space="preserve"> tháng </w:t>
      </w:r>
      <w:r w:rsidRPr="008E7F27">
        <w:rPr>
          <w:sz w:val="28"/>
          <w:szCs w:val="28"/>
        </w:rPr>
        <w:t>3</w:t>
      </w:r>
      <w:r w:rsidR="008E7F27">
        <w:rPr>
          <w:sz w:val="28"/>
          <w:szCs w:val="28"/>
        </w:rPr>
        <w:t xml:space="preserve"> năm </w:t>
      </w:r>
      <w:r w:rsidRPr="008E7F27">
        <w:rPr>
          <w:sz w:val="28"/>
          <w:szCs w:val="28"/>
        </w:rPr>
        <w:t>2026 của Trung tâm Dữ liệu quốc gia và chỉ đạo của UBND tỉnh, Sở Khoa học và Công nghệ đã ban hành Công văn số 1000/SKH&amp;CN-CĐS ngày 13</w:t>
      </w:r>
      <w:r w:rsidR="008E7F27">
        <w:rPr>
          <w:sz w:val="28"/>
          <w:szCs w:val="28"/>
        </w:rPr>
        <w:t xml:space="preserve"> tháng </w:t>
      </w:r>
      <w:r w:rsidRPr="008E7F27">
        <w:rPr>
          <w:sz w:val="28"/>
          <w:szCs w:val="28"/>
        </w:rPr>
        <w:t>3</w:t>
      </w:r>
      <w:r w:rsidR="008E7F27">
        <w:rPr>
          <w:sz w:val="28"/>
          <w:szCs w:val="28"/>
        </w:rPr>
        <w:t xml:space="preserve"> năm </w:t>
      </w:r>
      <w:r w:rsidRPr="008E7F27">
        <w:rPr>
          <w:sz w:val="28"/>
          <w:szCs w:val="28"/>
        </w:rPr>
        <w:t xml:space="preserve">2026 gửi các cơ quan, đơn vị liên quan để phối hợp triển khai tích hợp Hệ thống thông tin giải quyết </w:t>
      </w:r>
      <w:r w:rsidR="008E7F27">
        <w:rPr>
          <w:sz w:val="28"/>
          <w:szCs w:val="28"/>
        </w:rPr>
        <w:t xml:space="preserve">TTHC </w:t>
      </w:r>
      <w:r w:rsidRPr="008E7F27">
        <w:rPr>
          <w:sz w:val="28"/>
          <w:szCs w:val="28"/>
        </w:rPr>
        <w:t xml:space="preserve">của tỉnh với Cổng Dịch vụ công quốc gia và Hệ thống điều phối giải quyết </w:t>
      </w:r>
      <w:r w:rsidR="008E7F27">
        <w:rPr>
          <w:sz w:val="28"/>
          <w:szCs w:val="28"/>
        </w:rPr>
        <w:t xml:space="preserve">TTHC </w:t>
      </w:r>
      <w:r w:rsidRPr="008E7F27">
        <w:rPr>
          <w:sz w:val="28"/>
          <w:szCs w:val="28"/>
        </w:rPr>
        <w:t>do Bộ Công an triển khai.</w:t>
      </w:r>
    </w:p>
    <w:p w14:paraId="18AD36DA" w14:textId="348D08B7" w:rsidR="009C26BC" w:rsidRPr="008E7F27" w:rsidRDefault="009C26B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sz w:val="28"/>
          <w:szCs w:val="28"/>
        </w:rPr>
      </w:pPr>
      <w:r w:rsidRPr="008E7F27">
        <w:rPr>
          <w:sz w:val="28"/>
          <w:szCs w:val="28"/>
        </w:rPr>
        <w:t xml:space="preserve">Đến thời điểm hiện tại, tỉnh đã hoàn thành kết nối giai đoạn 1; đồng thời đang tiếp tục phối hợp với Trung tâm Dữ liệu </w:t>
      </w:r>
      <w:r w:rsidR="00904630">
        <w:rPr>
          <w:sz w:val="28"/>
          <w:szCs w:val="28"/>
        </w:rPr>
        <w:t>q</w:t>
      </w:r>
      <w:r w:rsidRPr="008E7F27">
        <w:rPr>
          <w:sz w:val="28"/>
          <w:szCs w:val="28"/>
        </w:rPr>
        <w:t>uốc gia thực hiện kiểm thử, hoàn thiện các điều kiện kỹ thuật để đưa hệ thống vào vận hành chính thức theo kế hoạch.</w:t>
      </w:r>
    </w:p>
    <w:p w14:paraId="140D84EB" w14:textId="481E086F" w:rsidR="00721D0B" w:rsidRPr="008E7F27"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E7F27">
        <w:rPr>
          <w:bCs/>
          <w:i/>
          <w:iCs/>
          <w:sz w:val="28"/>
          <w:szCs w:val="28"/>
        </w:rPr>
        <w:t>- Triển khai thực hiện thanh toán trực tuyến trên Hệ thống thông tin giải</w:t>
      </w:r>
      <w:r w:rsidR="009C1159" w:rsidRPr="008E7F27">
        <w:rPr>
          <w:bCs/>
          <w:i/>
          <w:iCs/>
          <w:sz w:val="28"/>
          <w:szCs w:val="28"/>
        </w:rPr>
        <w:t xml:space="preserve"> </w:t>
      </w:r>
      <w:r w:rsidRPr="008E7F27">
        <w:rPr>
          <w:bCs/>
          <w:i/>
          <w:iCs/>
          <w:sz w:val="28"/>
          <w:szCs w:val="28"/>
        </w:rPr>
        <w:t>quyết TTHC cấp tỉnh và trên Hệ thống thông tin giải quyết TTHC của Bộ,</w:t>
      </w:r>
      <w:r w:rsidR="009C1159" w:rsidRPr="008E7F27">
        <w:rPr>
          <w:bCs/>
          <w:i/>
          <w:iCs/>
          <w:sz w:val="28"/>
          <w:szCs w:val="28"/>
        </w:rPr>
        <w:t xml:space="preserve"> </w:t>
      </w:r>
      <w:r w:rsidRPr="008E7F27">
        <w:rPr>
          <w:bCs/>
          <w:i/>
          <w:iCs/>
          <w:sz w:val="28"/>
          <w:szCs w:val="28"/>
        </w:rPr>
        <w:t>ngành:</w:t>
      </w:r>
      <w:r w:rsidRPr="008E7F27">
        <w:rPr>
          <w:bCs/>
          <w:sz w:val="28"/>
          <w:szCs w:val="28"/>
        </w:rPr>
        <w:t xml:space="preserve"> </w:t>
      </w:r>
    </w:p>
    <w:p w14:paraId="5F82C5F5" w14:textId="70CE5CD5" w:rsidR="009C26BC" w:rsidRPr="008E7F27" w:rsidRDefault="009C26B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pacing w:val="-4"/>
          <w:sz w:val="28"/>
          <w:szCs w:val="28"/>
        </w:rPr>
      </w:pPr>
      <w:r w:rsidRPr="008E7F27">
        <w:rPr>
          <w:bCs/>
          <w:spacing w:val="-4"/>
          <w:sz w:val="28"/>
          <w:szCs w:val="28"/>
        </w:rPr>
        <w:t xml:space="preserve">Tỉnh Đồng Tháp đã triển khai thanh toán trực tuyến đối với 100% </w:t>
      </w:r>
      <w:r w:rsidR="008E7F27" w:rsidRPr="008E7F27">
        <w:rPr>
          <w:bCs/>
          <w:spacing w:val="-4"/>
          <w:sz w:val="28"/>
          <w:szCs w:val="28"/>
        </w:rPr>
        <w:t xml:space="preserve">TTHC </w:t>
      </w:r>
      <w:r w:rsidRPr="008E7F27">
        <w:rPr>
          <w:bCs/>
          <w:spacing w:val="-4"/>
          <w:sz w:val="28"/>
          <w:szCs w:val="28"/>
        </w:rPr>
        <w:t xml:space="preserve">(495 TTHC) có phát sinh thu phí, lệ phí trên Hệ thống thông tin giải quyết TTHC của tỉnh và các hệ thống của Bộ, ngành Trung ương. </w:t>
      </w:r>
      <w:r w:rsidR="00D27513" w:rsidRPr="008E7F27">
        <w:rPr>
          <w:bCs/>
          <w:spacing w:val="-4"/>
          <w:sz w:val="28"/>
          <w:szCs w:val="28"/>
        </w:rPr>
        <w:t>Từ đầu năm</w:t>
      </w:r>
      <w:r w:rsidRPr="008E7F27">
        <w:rPr>
          <w:bCs/>
          <w:spacing w:val="-4"/>
          <w:sz w:val="28"/>
          <w:szCs w:val="28"/>
        </w:rPr>
        <w:t xml:space="preserve"> 2026</w:t>
      </w:r>
      <w:r w:rsidR="00D27513" w:rsidRPr="008E7F27">
        <w:rPr>
          <w:bCs/>
          <w:spacing w:val="-4"/>
          <w:sz w:val="28"/>
          <w:szCs w:val="28"/>
        </w:rPr>
        <w:t xml:space="preserve"> đến nay</w:t>
      </w:r>
      <w:r w:rsidRPr="008E7F27">
        <w:rPr>
          <w:bCs/>
          <w:spacing w:val="-4"/>
          <w:sz w:val="28"/>
          <w:szCs w:val="28"/>
        </w:rPr>
        <w:t>, tỷ lệ hồ sơ thực hiện thanh toán trực tuyến đạt 80,64%, tương ứng 263.668 hồ sơ. Tổng số tiền thanh toán trực tuyến bình quân hằng tháng đạt khoảng 5 tỷ đồng, góp phần nâng cao tính công khai, minh bạch, tạo thuận lợi cho người dân, doanh nghiệp trong thực hiện</w:t>
      </w:r>
      <w:r w:rsidR="008E7F27" w:rsidRPr="008E7F27">
        <w:rPr>
          <w:bCs/>
          <w:spacing w:val="-4"/>
          <w:sz w:val="28"/>
          <w:szCs w:val="28"/>
        </w:rPr>
        <w:t xml:space="preserve"> TTHC</w:t>
      </w:r>
      <w:r w:rsidRPr="008E7F27">
        <w:rPr>
          <w:bCs/>
          <w:spacing w:val="-4"/>
          <w:sz w:val="28"/>
          <w:szCs w:val="28"/>
        </w:rPr>
        <w:t>.</w:t>
      </w:r>
    </w:p>
    <w:p w14:paraId="1A6DDCC2" w14:textId="77777777" w:rsidR="009C26BC" w:rsidRPr="00DF2A36"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DF2A36">
        <w:rPr>
          <w:bCs/>
          <w:i/>
          <w:iCs/>
          <w:sz w:val="28"/>
          <w:szCs w:val="28"/>
        </w:rPr>
        <w:t>- Triển khai tiếp nhận và trả kết quả giải quyết TTHC không phụ thuộc vào</w:t>
      </w:r>
      <w:r w:rsidR="00713D9A" w:rsidRPr="00DF2A36">
        <w:rPr>
          <w:bCs/>
          <w:i/>
          <w:iCs/>
          <w:sz w:val="28"/>
          <w:szCs w:val="28"/>
        </w:rPr>
        <w:t xml:space="preserve"> </w:t>
      </w:r>
      <w:r w:rsidRPr="00DF2A36">
        <w:rPr>
          <w:bCs/>
          <w:i/>
          <w:iCs/>
          <w:sz w:val="28"/>
          <w:szCs w:val="28"/>
        </w:rPr>
        <w:t>địa giới hành chính trong phạm vi cấp tỉnh:</w:t>
      </w:r>
      <w:r w:rsidRPr="00DF2A36">
        <w:rPr>
          <w:bCs/>
          <w:sz w:val="28"/>
          <w:szCs w:val="28"/>
        </w:rPr>
        <w:t xml:space="preserve"> </w:t>
      </w:r>
    </w:p>
    <w:p w14:paraId="7B18D143" w14:textId="49BA1EC7" w:rsidR="008A6D51" w:rsidRPr="008A6D51" w:rsidRDefault="008A6D51"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A6D51">
        <w:rPr>
          <w:bCs/>
          <w:sz w:val="28"/>
          <w:szCs w:val="28"/>
        </w:rPr>
        <w:t>Ngày 16/7/2025, UBND tỉnh đã ban hành Kế hoạch số 20/KH-UBND về đổi mới toàn diện việc giải quyết</w:t>
      </w:r>
      <w:r w:rsidRPr="00DF2A36">
        <w:rPr>
          <w:bCs/>
          <w:sz w:val="28"/>
          <w:szCs w:val="28"/>
        </w:rPr>
        <w:t xml:space="preserve"> TTHC</w:t>
      </w:r>
      <w:r w:rsidRPr="008A6D51">
        <w:rPr>
          <w:bCs/>
          <w:sz w:val="28"/>
          <w:szCs w:val="28"/>
        </w:rPr>
        <w:t xml:space="preserve">, cung cấp dịch vụ công không phụ thuộc vào địa giới hành chính; nâng cao chất lượng dịch vụ công trực tuyến, dịch vụ số cho người dân, doanh nghiệp theo hướng toàn trình, cá nhân hóa và dựa trên dữ liệu; đồng thời tăng cường giám sát, đánh giá và trách nhiệm giải trình của cơ quan nhà nước, người có thẩm quyền trong phục vụ </w:t>
      </w:r>
      <w:r w:rsidRPr="00DF2A36">
        <w:rPr>
          <w:bCs/>
          <w:sz w:val="28"/>
          <w:szCs w:val="28"/>
        </w:rPr>
        <w:t>n</w:t>
      </w:r>
      <w:r w:rsidRPr="008A6D51">
        <w:rPr>
          <w:bCs/>
          <w:sz w:val="28"/>
          <w:szCs w:val="28"/>
        </w:rPr>
        <w:t>hân dân trên địa bàn tỉnh.</w:t>
      </w:r>
    </w:p>
    <w:p w14:paraId="0220FA52" w14:textId="780F7822" w:rsidR="008A6D51" w:rsidRPr="008A6D51" w:rsidRDefault="008A6D51"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A6D51">
        <w:rPr>
          <w:bCs/>
          <w:sz w:val="28"/>
          <w:szCs w:val="28"/>
        </w:rPr>
        <w:t>Tiếp đó, ngày 15/10/2025, Chủ tịch UBND tỉnh ban hành Công văn số 1413/UBND-KSTT triển khai Công điện số 187/CĐ-TTg ngày 04/10/2025 của Thủ tướng Chính phủ về kiểm soát chặt chẽ, tập trung cắt giảm, đơn giản hóa</w:t>
      </w:r>
      <w:r w:rsidRPr="008D6BBE">
        <w:rPr>
          <w:bCs/>
          <w:sz w:val="28"/>
          <w:szCs w:val="28"/>
        </w:rPr>
        <w:t xml:space="preserve"> TTHC</w:t>
      </w:r>
      <w:r w:rsidRPr="008A6D51">
        <w:rPr>
          <w:bCs/>
          <w:sz w:val="28"/>
          <w:szCs w:val="28"/>
        </w:rPr>
        <w:t xml:space="preserve">, điều kiện kinh doanh và đẩy mạnh thực hiện </w:t>
      </w:r>
      <w:r w:rsidRPr="008D6BBE">
        <w:rPr>
          <w:bCs/>
          <w:sz w:val="28"/>
          <w:szCs w:val="28"/>
        </w:rPr>
        <w:t>TTHC</w:t>
      </w:r>
      <w:r w:rsidRPr="008A6D51">
        <w:rPr>
          <w:bCs/>
          <w:sz w:val="28"/>
          <w:szCs w:val="28"/>
        </w:rPr>
        <w:t xml:space="preserve"> không phụ thuộc vào địa giới hành chính. Ngày 21/10/2025, Chủ tịch UBND tỉnh tiếp tục ban hành Công văn số 1454/UBND-KSTT chỉ đạo các cơ quan, đơn vị tập trung triển khai các nhiệm vụ theo Kế hoạch số 20/KH-UBND</w:t>
      </w:r>
      <w:r w:rsidR="008D6BBE">
        <w:rPr>
          <w:bCs/>
          <w:sz w:val="28"/>
          <w:szCs w:val="28"/>
        </w:rPr>
        <w:t xml:space="preserve"> của UBND tỉnh.</w:t>
      </w:r>
    </w:p>
    <w:p w14:paraId="4BEF2D30" w14:textId="601D0F69" w:rsidR="00721D0B" w:rsidRPr="008D6BBE" w:rsidRDefault="008A6D51"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A6D51">
        <w:rPr>
          <w:bCs/>
          <w:sz w:val="28"/>
          <w:szCs w:val="28"/>
        </w:rPr>
        <w:t xml:space="preserve">Đến nay, Chủ tịch UBND tỉnh đã ban hành các quyết định công bố danh mục đạt 100% </w:t>
      </w:r>
      <w:r w:rsidRPr="008D6BBE">
        <w:rPr>
          <w:bCs/>
          <w:sz w:val="28"/>
          <w:szCs w:val="28"/>
        </w:rPr>
        <w:t xml:space="preserve">TTHC </w:t>
      </w:r>
      <w:r w:rsidRPr="008A6D51">
        <w:rPr>
          <w:bCs/>
          <w:sz w:val="28"/>
          <w:szCs w:val="28"/>
        </w:rPr>
        <w:t xml:space="preserve">đủ điều kiện thực hiện không phụ thuộc vào địa giới hành chính theo chủ trương và quy định của Trung ương, góp phần tạo thuận lợi cho người dân, </w:t>
      </w:r>
      <w:r w:rsidRPr="008A6D51">
        <w:rPr>
          <w:bCs/>
          <w:sz w:val="28"/>
          <w:szCs w:val="28"/>
        </w:rPr>
        <w:lastRenderedPageBreak/>
        <w:t>doanh nghiệp trong tiếp cận và sử dụng dịch vụ công</w:t>
      </w:r>
      <w:r w:rsidR="00AF5C73" w:rsidRPr="008D6BBE">
        <w:rPr>
          <w:rStyle w:val="FootnoteReference"/>
          <w:b/>
          <w:bCs/>
          <w:sz w:val="28"/>
          <w:szCs w:val="28"/>
        </w:rPr>
        <w:footnoteReference w:id="5"/>
      </w:r>
      <w:r w:rsidR="00AF5C73" w:rsidRPr="008D6BBE">
        <w:rPr>
          <w:sz w:val="28"/>
          <w:szCs w:val="28"/>
        </w:rPr>
        <w:t>.</w:t>
      </w:r>
    </w:p>
    <w:p w14:paraId="112BE796" w14:textId="45140391" w:rsidR="00394088" w:rsidRPr="008D6BBE"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D6BBE">
        <w:rPr>
          <w:bCs/>
          <w:i/>
          <w:iCs/>
          <w:sz w:val="28"/>
          <w:szCs w:val="28"/>
        </w:rPr>
        <w:t>- Sử dụng Bộ nhận diện thương hiệu thống nhất tại</w:t>
      </w:r>
      <w:r w:rsidR="00394088" w:rsidRPr="008D6BBE">
        <w:rPr>
          <w:bCs/>
          <w:i/>
          <w:iCs/>
          <w:sz w:val="28"/>
          <w:szCs w:val="28"/>
        </w:rPr>
        <w:t xml:space="preserve"> Bộ phận Một cửa</w:t>
      </w:r>
      <w:r w:rsidRPr="008D6BBE">
        <w:rPr>
          <w:bCs/>
          <w:i/>
          <w:iCs/>
          <w:sz w:val="28"/>
          <w:szCs w:val="28"/>
        </w:rPr>
        <w:t>:</w:t>
      </w:r>
      <w:r w:rsidRPr="008D6BBE">
        <w:rPr>
          <w:bCs/>
          <w:sz w:val="28"/>
          <w:szCs w:val="28"/>
        </w:rPr>
        <w:t xml:space="preserve"> </w:t>
      </w:r>
      <w:r w:rsidR="00394088" w:rsidRPr="008D6BBE">
        <w:rPr>
          <w:bCs/>
          <w:sz w:val="28"/>
          <w:szCs w:val="28"/>
        </w:rPr>
        <w:t xml:space="preserve">Giao diện Hệ thống thông tin giải quyết TTHC của tỉnh; Trung tâm Phục vụ hành chính công tỉnh và hầu hết các Trung tâm Phục vụ hành chính công cấp xã đều đã sử dụng Bộ nhận diện thương hiệu theo hướng dẫn tại Thông tư số 03/2025/TT-VPCP ngày </w:t>
      </w:r>
      <w:r w:rsidR="00394088" w:rsidRPr="008D6BBE">
        <w:rPr>
          <w:bCs/>
          <w:spacing w:val="-4"/>
          <w:sz w:val="28"/>
          <w:szCs w:val="28"/>
        </w:rPr>
        <w:t>15</w:t>
      </w:r>
      <w:r w:rsidR="00F33583" w:rsidRPr="008D6BBE">
        <w:rPr>
          <w:bCs/>
          <w:spacing w:val="-4"/>
          <w:sz w:val="28"/>
          <w:szCs w:val="28"/>
        </w:rPr>
        <w:t xml:space="preserve"> tháng </w:t>
      </w:r>
      <w:r w:rsidR="00394088" w:rsidRPr="008D6BBE">
        <w:rPr>
          <w:bCs/>
          <w:spacing w:val="-4"/>
          <w:sz w:val="28"/>
          <w:szCs w:val="28"/>
        </w:rPr>
        <w:t>9</w:t>
      </w:r>
      <w:r w:rsidR="00F33583" w:rsidRPr="008D6BBE">
        <w:rPr>
          <w:bCs/>
          <w:spacing w:val="-4"/>
          <w:sz w:val="28"/>
          <w:szCs w:val="28"/>
        </w:rPr>
        <w:t xml:space="preserve"> năm </w:t>
      </w:r>
      <w:r w:rsidR="00394088" w:rsidRPr="008D6BBE">
        <w:rPr>
          <w:bCs/>
          <w:spacing w:val="-4"/>
          <w:sz w:val="28"/>
          <w:szCs w:val="28"/>
        </w:rPr>
        <w:t>2025 của Văn phòng Chính phủ</w:t>
      </w:r>
      <w:r w:rsidR="00840594" w:rsidRPr="008D6BBE">
        <w:rPr>
          <w:bCs/>
          <w:spacing w:val="-4"/>
          <w:sz w:val="28"/>
          <w:szCs w:val="28"/>
        </w:rPr>
        <w:t xml:space="preserve"> về hướng dẫn thi hành một số nội dung</w:t>
      </w:r>
      <w:r w:rsidR="00840594" w:rsidRPr="008D6BBE">
        <w:rPr>
          <w:bCs/>
          <w:sz w:val="28"/>
          <w:szCs w:val="28"/>
        </w:rPr>
        <w:t xml:space="preserve"> Nghị định 118/2025/NĐ-CP.</w:t>
      </w:r>
    </w:p>
    <w:p w14:paraId="4E93372D" w14:textId="598617F3" w:rsidR="00FF38F8" w:rsidRPr="008D6BBE"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8D6BBE">
        <w:rPr>
          <w:bCs/>
          <w:i/>
          <w:iCs/>
          <w:sz w:val="28"/>
          <w:szCs w:val="28"/>
        </w:rPr>
        <w:t>- Kết quả nổi bật:</w:t>
      </w:r>
      <w:r w:rsidR="00CF0A84" w:rsidRPr="008D6BBE">
        <w:rPr>
          <w:bCs/>
          <w:sz w:val="28"/>
          <w:szCs w:val="28"/>
        </w:rPr>
        <w:t xml:space="preserve"> Trong năm 2025 và Quý I năm 2026, công tác triển khai thực hiện Nghị định số 118/2025/NĐ-CP của Chính phủ (đã được sửa đổi, bổ sung tại Nghị định 367/2025/NĐ-CP) trên địa bàn tỉnh đạt nhiều kết quả tích cực. Tỉnh đã ban hành kịp thời nhiều văn bản trọng tâm để chỉ đạo triển khai cơ chế một cửa, một cửa liên thông và nâng cao hiệu quả phục vụ người dân, doanh nghiệp, tiêu biểu</w:t>
      </w:r>
      <w:r w:rsidR="00365762" w:rsidRPr="008D6BBE">
        <w:rPr>
          <w:bCs/>
          <w:sz w:val="28"/>
          <w:szCs w:val="28"/>
        </w:rPr>
        <w:t xml:space="preserve"> với các nội dung như: </w:t>
      </w:r>
      <w:r w:rsidR="00365762" w:rsidRPr="008D6BBE">
        <w:rPr>
          <w:bCs/>
          <w:iCs/>
          <w:sz w:val="28"/>
          <w:szCs w:val="28"/>
          <w:lang w:val="nl-NL"/>
        </w:rPr>
        <w:t xml:space="preserve">UBND tỉnh đã chấp thuận chủ trương và chỉ đạo thực hiện </w:t>
      </w:r>
      <w:r w:rsidR="00365762" w:rsidRPr="008D6BBE">
        <w:rPr>
          <w:bCs/>
          <w:iCs/>
          <w:sz w:val="28"/>
          <w:szCs w:val="28"/>
        </w:rPr>
        <w:t>áp dụng</w:t>
      </w:r>
      <w:r w:rsidR="00AE4CC3" w:rsidRPr="008D6BBE">
        <w:rPr>
          <w:bCs/>
          <w:iCs/>
          <w:sz w:val="28"/>
          <w:szCs w:val="28"/>
        </w:rPr>
        <w:t xml:space="preserve"> đồng bộ</w:t>
      </w:r>
      <w:r w:rsidR="00365762" w:rsidRPr="008D6BBE">
        <w:rPr>
          <w:bCs/>
          <w:iCs/>
          <w:sz w:val="28"/>
          <w:szCs w:val="28"/>
        </w:rPr>
        <w:t xml:space="preserve"> 15 mẫu thiết kế mô hình bố trí Trung tâm Phục vụ hành chính công cấp xã</w:t>
      </w:r>
      <w:r w:rsidR="00365762" w:rsidRPr="008D6BBE">
        <w:rPr>
          <w:rStyle w:val="FootnoteReference"/>
          <w:b/>
          <w:iCs/>
          <w:sz w:val="28"/>
          <w:szCs w:val="28"/>
        </w:rPr>
        <w:footnoteReference w:id="6"/>
      </w:r>
      <w:r w:rsidR="00365762" w:rsidRPr="008D6BBE">
        <w:rPr>
          <w:bCs/>
          <w:iCs/>
          <w:sz w:val="28"/>
          <w:szCs w:val="28"/>
        </w:rPr>
        <w:t>; quyết định tổ chức làm việc vào ngày thứ Bảy hằng tuần để tiếp nhận, giải quyết TTHC trên địa bàn tỉnh</w:t>
      </w:r>
      <w:r w:rsidR="00365762" w:rsidRPr="008D6BBE">
        <w:rPr>
          <w:rStyle w:val="FootnoteReference"/>
          <w:b/>
          <w:iCs/>
          <w:sz w:val="28"/>
          <w:szCs w:val="28"/>
        </w:rPr>
        <w:footnoteReference w:id="7"/>
      </w:r>
      <w:r w:rsidR="00365762" w:rsidRPr="008D6BBE">
        <w:rPr>
          <w:bCs/>
          <w:iCs/>
          <w:sz w:val="28"/>
          <w:szCs w:val="28"/>
        </w:rPr>
        <w:t>.</w:t>
      </w:r>
    </w:p>
    <w:p w14:paraId="52485AE2" w14:textId="39AF33D6" w:rsidR="001C4F6C" w:rsidRPr="008D6BBE" w:rsidRDefault="001C4F6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iCs/>
          <w:sz w:val="28"/>
          <w:szCs w:val="28"/>
          <w:lang w:val="nl-NL"/>
        </w:rPr>
      </w:pPr>
      <w:r w:rsidRPr="008D6BBE">
        <w:rPr>
          <w:bCs/>
          <w:iCs/>
          <w:sz w:val="28"/>
          <w:szCs w:val="28"/>
          <w:lang w:val="nl-NL"/>
        </w:rPr>
        <w:t xml:space="preserve">Bên cạnh đó, </w:t>
      </w:r>
      <w:r w:rsidRPr="008D6BBE">
        <w:rPr>
          <w:bCs/>
          <w:iCs/>
          <w:spacing w:val="-4"/>
          <w:sz w:val="28"/>
          <w:szCs w:val="28"/>
          <w:lang w:val="nl-NL"/>
        </w:rPr>
        <w:t>UBND tỉnh đã trình Hội đồng nhân dân tỉnh thông qua Nghị quyết</w:t>
      </w:r>
      <w:r w:rsidRPr="008D6BBE">
        <w:rPr>
          <w:bCs/>
          <w:iCs/>
          <w:sz w:val="28"/>
          <w:szCs w:val="28"/>
          <w:lang w:val="nl-NL"/>
        </w:rPr>
        <w:t xml:space="preserve"> quy định mức thu phí, lệ phí trong thực hiện dịch vụ công trực tuyến</w:t>
      </w:r>
      <w:r w:rsidRPr="008D6BBE">
        <w:rPr>
          <w:rStyle w:val="FootnoteReference"/>
          <w:b/>
          <w:iCs/>
          <w:sz w:val="28"/>
          <w:szCs w:val="28"/>
          <w:lang w:val="nl-NL"/>
        </w:rPr>
        <w:footnoteReference w:id="8"/>
      </w:r>
      <w:r w:rsidRPr="008D6BBE">
        <w:rPr>
          <w:bCs/>
          <w:iCs/>
          <w:sz w:val="28"/>
          <w:szCs w:val="28"/>
          <w:lang w:val="nl-NL"/>
        </w:rPr>
        <w:t xml:space="preserve"> và chỉ đạo triển khai thực hiện Nghị quyết này trên địa bàn tỉnh</w:t>
      </w:r>
      <w:r w:rsidRPr="008D6BBE">
        <w:rPr>
          <w:rStyle w:val="FootnoteReference"/>
          <w:b/>
          <w:iCs/>
          <w:sz w:val="28"/>
          <w:szCs w:val="28"/>
          <w:lang w:val="nl-NL"/>
        </w:rPr>
        <w:footnoteReference w:id="9"/>
      </w:r>
      <w:r w:rsidRPr="008D6BBE">
        <w:rPr>
          <w:bCs/>
          <w:iCs/>
          <w:sz w:val="28"/>
          <w:szCs w:val="28"/>
          <w:lang w:val="nl-NL"/>
        </w:rPr>
        <w:t>. Nghị quyết này quy định mức thu phí, lệ phí khi thực hiện TTHC bằng hình thức dịch vụ công trực tuyến là 0 đồng hoặc 50% mức thu áp dụng đối với các khoản phí, lệ phí thuộc thẩm quyền quyết định của Hội đồng nhân dân tỉnh (tùy loại TTHC). Qua đó, đã góp phần nâng cao tỷ lệ hồ sơ sử dụng dịch vụ công trực tuyến trên địa bàn tỉnh.</w:t>
      </w:r>
    </w:p>
    <w:p w14:paraId="09796C20" w14:textId="2BD9A572" w:rsidR="00217803" w:rsidRPr="008D6BBE" w:rsidRDefault="001C4F6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spacing w:val="-4"/>
          <w:szCs w:val="28"/>
          <w:lang w:val="nl-NL"/>
        </w:rPr>
      </w:pPr>
      <w:r w:rsidRPr="008D6BBE">
        <w:rPr>
          <w:bCs/>
          <w:spacing w:val="-4"/>
          <w:sz w:val="28"/>
          <w:szCs w:val="28"/>
        </w:rPr>
        <w:t>T</w:t>
      </w:r>
      <w:r w:rsidR="00FF38F8" w:rsidRPr="008D6BBE">
        <w:rPr>
          <w:bCs/>
          <w:spacing w:val="-4"/>
          <w:sz w:val="28"/>
          <w:szCs w:val="28"/>
        </w:rPr>
        <w:t xml:space="preserve">ỉnh tiếp tục quyết định </w:t>
      </w:r>
      <w:r w:rsidR="00FF38F8" w:rsidRPr="008D6BBE">
        <w:rPr>
          <w:spacing w:val="-4"/>
          <w:sz w:val="28"/>
          <w:szCs w:val="28"/>
        </w:rPr>
        <w:t>giao cho doanh nghiệp cung ứng dịch vụ bưu chính công ích hỗ trợ thực hiện nhiệm vụ hướng dẫn, tiếp nhận, số hóa hồ sơ và trả kết quả giải quyết TTHC</w:t>
      </w:r>
      <w:r w:rsidR="00FF38F8" w:rsidRPr="008D6BBE">
        <w:rPr>
          <w:rStyle w:val="FootnoteReference"/>
          <w:b/>
          <w:bCs/>
          <w:spacing w:val="-4"/>
          <w:sz w:val="28"/>
          <w:szCs w:val="28"/>
        </w:rPr>
        <w:footnoteReference w:id="10"/>
      </w:r>
      <w:r w:rsidR="00FF38F8" w:rsidRPr="008D6BBE">
        <w:rPr>
          <w:spacing w:val="-4"/>
          <w:sz w:val="28"/>
          <w:szCs w:val="28"/>
        </w:rPr>
        <w:t xml:space="preserve">. Theo đó, triển khai, thực hiện tại Trung tâm Phục vụ hành chính công tỉnh đối với 10 cơ quan, đơn vị </w:t>
      </w:r>
      <w:r w:rsidR="00AE4CC3" w:rsidRPr="008D6BBE">
        <w:rPr>
          <w:spacing w:val="-4"/>
          <w:sz w:val="28"/>
          <w:szCs w:val="28"/>
        </w:rPr>
        <w:t>(G</w:t>
      </w:r>
      <w:r w:rsidR="00FF38F8" w:rsidRPr="008D6BBE">
        <w:rPr>
          <w:spacing w:val="-4"/>
          <w:sz w:val="28"/>
          <w:szCs w:val="28"/>
        </w:rPr>
        <w:t xml:space="preserve">ồm: Sở Y tế; Sở Nội vụ; Sở Tư pháp; Sở Khoa học và Công nghệ; Sở Công Thương; Sở Giáo dục và Đào tạo; Sở Văn hóa, Thể thao và Du lịch; Sở Nông nghiệp và Môi trường; Ban Quản lý Khu kinh tế tỉnh và </w:t>
      </w:r>
      <w:r w:rsidR="00AE4CC3" w:rsidRPr="008D6BBE">
        <w:rPr>
          <w:spacing w:val="-4"/>
          <w:sz w:val="28"/>
          <w:szCs w:val="28"/>
        </w:rPr>
        <w:t xml:space="preserve">lĩnh vực Ngoại vụ thuộc </w:t>
      </w:r>
      <w:r w:rsidR="00FF38F8" w:rsidRPr="008D6BBE">
        <w:rPr>
          <w:spacing w:val="-4"/>
          <w:sz w:val="28"/>
          <w:szCs w:val="28"/>
        </w:rPr>
        <w:t>Văn phòng UBND tỉnh</w:t>
      </w:r>
      <w:r w:rsidR="00AE4CC3" w:rsidRPr="008D6BBE">
        <w:rPr>
          <w:spacing w:val="-4"/>
          <w:sz w:val="28"/>
          <w:szCs w:val="28"/>
        </w:rPr>
        <w:t>)</w:t>
      </w:r>
      <w:r w:rsidR="00FF38F8" w:rsidRPr="008D6BBE">
        <w:rPr>
          <w:spacing w:val="-4"/>
          <w:sz w:val="28"/>
          <w:szCs w:val="28"/>
        </w:rPr>
        <w:t xml:space="preserve">; đồng thời triển khai tại 04 đơn vị cấp xã </w:t>
      </w:r>
      <w:r w:rsidR="00AE4CC3" w:rsidRPr="008D6BBE">
        <w:rPr>
          <w:spacing w:val="-4"/>
          <w:sz w:val="28"/>
          <w:szCs w:val="28"/>
        </w:rPr>
        <w:t>(G</w:t>
      </w:r>
      <w:r w:rsidR="00FF38F8" w:rsidRPr="008D6BBE">
        <w:rPr>
          <w:spacing w:val="-4"/>
          <w:sz w:val="28"/>
          <w:szCs w:val="28"/>
        </w:rPr>
        <w:t>ồm 01 phường Trung An và 03 xã</w:t>
      </w:r>
      <w:r w:rsidR="00AE4CC3" w:rsidRPr="008D6BBE">
        <w:rPr>
          <w:spacing w:val="-4"/>
          <w:sz w:val="28"/>
          <w:szCs w:val="28"/>
        </w:rPr>
        <w:t xml:space="preserve">: </w:t>
      </w:r>
      <w:r w:rsidR="00FF38F8" w:rsidRPr="008D6BBE">
        <w:rPr>
          <w:spacing w:val="-4"/>
          <w:sz w:val="28"/>
          <w:szCs w:val="28"/>
        </w:rPr>
        <w:t>Lấp Vò, Mỹ An Hưng, Tân Khánh Trung).</w:t>
      </w:r>
      <w:r w:rsidR="00AE4CC3" w:rsidRPr="008D6BBE">
        <w:rPr>
          <w:spacing w:val="-4"/>
          <w:szCs w:val="28"/>
          <w:lang w:val="nl-NL"/>
        </w:rPr>
        <w:t xml:space="preserve"> </w:t>
      </w:r>
    </w:p>
    <w:p w14:paraId="4E8E0107" w14:textId="77777777" w:rsidR="003533F7" w:rsidRDefault="001C4F6C"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spacing w:val="-4"/>
          <w:sz w:val="28"/>
          <w:szCs w:val="28"/>
          <w:lang w:val="nl-NL"/>
        </w:rPr>
      </w:pPr>
      <w:r w:rsidRPr="008D6BBE">
        <w:rPr>
          <w:spacing w:val="-4"/>
          <w:sz w:val="28"/>
          <w:szCs w:val="28"/>
          <w:lang w:val="nl-NL"/>
        </w:rPr>
        <w:t xml:space="preserve">Ngoài ra, </w:t>
      </w:r>
      <w:r w:rsidR="00217803" w:rsidRPr="008D6BBE">
        <w:rPr>
          <w:spacing w:val="-4"/>
          <w:sz w:val="28"/>
          <w:szCs w:val="28"/>
          <w:lang w:val="nl-NL"/>
        </w:rPr>
        <w:t xml:space="preserve">UBND tỉnh cũng đã </w:t>
      </w:r>
      <w:r w:rsidR="00AE4CC3" w:rsidRPr="008D6BBE">
        <w:rPr>
          <w:spacing w:val="-4"/>
          <w:sz w:val="28"/>
          <w:szCs w:val="28"/>
          <w:lang w:val="nl-NL"/>
        </w:rPr>
        <w:t>ban hành Quy chế tiếp nhận, luân chuyển hồ sơ, giải quyết, trả kết quả</w:t>
      </w:r>
      <w:r w:rsidR="00217803" w:rsidRPr="008D6BBE">
        <w:rPr>
          <w:spacing w:val="-4"/>
          <w:sz w:val="28"/>
          <w:szCs w:val="28"/>
          <w:lang w:val="nl-NL"/>
        </w:rPr>
        <w:t xml:space="preserve"> giải quyết</w:t>
      </w:r>
      <w:r w:rsidR="00AE4CC3" w:rsidRPr="008D6BBE">
        <w:rPr>
          <w:spacing w:val="-4"/>
          <w:sz w:val="28"/>
          <w:szCs w:val="28"/>
          <w:lang w:val="nl-NL"/>
        </w:rPr>
        <w:t xml:space="preserve"> TTHC trong lĩnh vực đất đai</w:t>
      </w:r>
      <w:r w:rsidR="00217803" w:rsidRPr="008D6BBE">
        <w:rPr>
          <w:rStyle w:val="FootnoteReference"/>
          <w:b/>
          <w:bCs/>
          <w:spacing w:val="-4"/>
          <w:sz w:val="28"/>
          <w:szCs w:val="28"/>
          <w:lang w:val="nl-NL"/>
        </w:rPr>
        <w:footnoteReference w:id="11"/>
      </w:r>
      <w:r w:rsidR="00AE4CC3" w:rsidRPr="008D6BBE">
        <w:rPr>
          <w:spacing w:val="-4"/>
          <w:sz w:val="28"/>
          <w:szCs w:val="28"/>
          <w:lang w:val="nl-NL"/>
        </w:rPr>
        <w:t>.</w:t>
      </w:r>
      <w:r w:rsidR="00217803" w:rsidRPr="008D6BBE">
        <w:rPr>
          <w:spacing w:val="-4"/>
          <w:sz w:val="28"/>
          <w:szCs w:val="28"/>
          <w:lang w:val="nl-NL"/>
        </w:rPr>
        <w:t xml:space="preserve"> Quyết định này góp phần chuẩn hóa, minh bạch quy trình tiếp nhận, giải quyết hồ sơ đất đai; phân định rõ trách nhiệm và thời hạn xử lý của các cơ quan từ cấp tỉnh đến cấp xã, tạo điều kiện để </w:t>
      </w:r>
      <w:r w:rsidR="00217803" w:rsidRPr="008D6BBE">
        <w:rPr>
          <w:sz w:val="28"/>
          <w:szCs w:val="28"/>
          <w:lang w:val="nl-NL"/>
        </w:rPr>
        <w:lastRenderedPageBreak/>
        <w:t>người dân, doanh nghiệp giám sát tiến độ, qua đó nâng cao hiệu quả quản lý nhà nước</w:t>
      </w:r>
      <w:r w:rsidR="00217803" w:rsidRPr="008D6BBE">
        <w:rPr>
          <w:spacing w:val="-4"/>
          <w:sz w:val="28"/>
          <w:szCs w:val="28"/>
          <w:lang w:val="nl-NL"/>
        </w:rPr>
        <w:t xml:space="preserve"> và bảo đảm quyền, lợi ích hợp pháp của người sử dụng đất</w:t>
      </w:r>
      <w:r w:rsidR="00217803" w:rsidRPr="00217803">
        <w:rPr>
          <w:spacing w:val="-4"/>
          <w:sz w:val="28"/>
          <w:szCs w:val="28"/>
          <w:lang w:val="nl-NL"/>
        </w:rPr>
        <w:t>.</w:t>
      </w:r>
    </w:p>
    <w:p w14:paraId="7C714782" w14:textId="78C89281" w:rsidR="00721D0B" w:rsidRPr="00F338CE" w:rsidRDefault="00CF0A84"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spacing w:val="-4"/>
          <w:sz w:val="28"/>
          <w:szCs w:val="28"/>
          <w:lang w:val="nl-NL"/>
        </w:rPr>
      </w:pPr>
      <w:r w:rsidRPr="00F338CE">
        <w:rPr>
          <w:bCs/>
          <w:spacing w:val="-4"/>
          <w:sz w:val="28"/>
          <w:szCs w:val="28"/>
        </w:rPr>
        <w:t>Tổng số hồ sơ TTHC tiếp nhận năm 2025</w:t>
      </w:r>
      <w:r w:rsidR="00F33583" w:rsidRPr="00F338CE">
        <w:rPr>
          <w:bCs/>
          <w:spacing w:val="-4"/>
          <w:sz w:val="28"/>
          <w:szCs w:val="28"/>
        </w:rPr>
        <w:t xml:space="preserve"> (Từ ngày 01 tháng 7 năm 2025) là </w:t>
      </w:r>
      <w:r w:rsidRPr="00F338CE">
        <w:rPr>
          <w:bCs/>
          <w:spacing w:val="-4"/>
          <w:sz w:val="28"/>
          <w:szCs w:val="28"/>
        </w:rPr>
        <w:t>597.598 hồ sơ</w:t>
      </w:r>
      <w:r w:rsidR="00F33583" w:rsidRPr="00F338CE">
        <w:rPr>
          <w:bCs/>
          <w:spacing w:val="-4"/>
          <w:sz w:val="28"/>
          <w:szCs w:val="28"/>
        </w:rPr>
        <w:t xml:space="preserve"> và trong</w:t>
      </w:r>
      <w:r w:rsidRPr="00F338CE">
        <w:rPr>
          <w:bCs/>
          <w:spacing w:val="-4"/>
          <w:sz w:val="28"/>
          <w:szCs w:val="28"/>
        </w:rPr>
        <w:t xml:space="preserve"> Quý I năm 2026 </w:t>
      </w:r>
      <w:r w:rsidR="00F33583" w:rsidRPr="00F338CE">
        <w:rPr>
          <w:bCs/>
          <w:spacing w:val="-4"/>
          <w:sz w:val="28"/>
          <w:szCs w:val="28"/>
        </w:rPr>
        <w:t xml:space="preserve">là </w:t>
      </w:r>
      <w:r w:rsidRPr="00F338CE">
        <w:rPr>
          <w:bCs/>
          <w:spacing w:val="-4"/>
          <w:sz w:val="28"/>
          <w:szCs w:val="28"/>
        </w:rPr>
        <w:t>300.416 hồ sơ</w:t>
      </w:r>
      <w:r w:rsidR="00164247" w:rsidRPr="00F338CE">
        <w:rPr>
          <w:bCs/>
          <w:spacing w:val="-4"/>
          <w:sz w:val="28"/>
          <w:szCs w:val="28"/>
        </w:rPr>
        <w:t>;</w:t>
      </w:r>
      <w:r w:rsidRPr="00F338CE">
        <w:rPr>
          <w:bCs/>
          <w:spacing w:val="-4"/>
          <w:sz w:val="28"/>
          <w:szCs w:val="28"/>
        </w:rPr>
        <w:t xml:space="preserve"> tỷ lệ giải quyết đúng hạn và trước hạn </w:t>
      </w:r>
      <w:r w:rsidR="00F33583" w:rsidRPr="00F338CE">
        <w:rPr>
          <w:bCs/>
          <w:spacing w:val="-4"/>
          <w:sz w:val="28"/>
          <w:szCs w:val="28"/>
        </w:rPr>
        <w:t>đều được</w:t>
      </w:r>
      <w:r w:rsidRPr="00F338CE">
        <w:rPr>
          <w:bCs/>
          <w:spacing w:val="-4"/>
          <w:sz w:val="28"/>
          <w:szCs w:val="28"/>
        </w:rPr>
        <w:t xml:space="preserve"> duy trì ở mức</w:t>
      </w:r>
      <w:r w:rsidR="008D6BBE" w:rsidRPr="00F338CE">
        <w:rPr>
          <w:bCs/>
          <w:spacing w:val="-4"/>
          <w:sz w:val="28"/>
          <w:szCs w:val="28"/>
        </w:rPr>
        <w:t xml:space="preserve"> </w:t>
      </w:r>
      <w:r w:rsidRPr="00F338CE">
        <w:rPr>
          <w:bCs/>
          <w:spacing w:val="-4"/>
          <w:sz w:val="28"/>
          <w:szCs w:val="28"/>
        </w:rPr>
        <w:t>cao, trên 9</w:t>
      </w:r>
      <w:r w:rsidR="00F33583" w:rsidRPr="00F338CE">
        <w:rPr>
          <w:bCs/>
          <w:spacing w:val="-4"/>
          <w:sz w:val="28"/>
          <w:szCs w:val="28"/>
        </w:rPr>
        <w:t>7</w:t>
      </w:r>
      <w:r w:rsidRPr="00F338CE">
        <w:rPr>
          <w:bCs/>
          <w:spacing w:val="-4"/>
          <w:sz w:val="28"/>
          <w:szCs w:val="28"/>
        </w:rPr>
        <w:t>%. Việc cung cấp dịch vụ công trực tuyến có chuyển biến rõ nét, tỷ lệ hồ sơ nộp trực tuyến</w:t>
      </w:r>
      <w:r w:rsidR="008D6BBE" w:rsidRPr="00F338CE">
        <w:rPr>
          <w:bCs/>
          <w:spacing w:val="-4"/>
          <w:sz w:val="28"/>
          <w:szCs w:val="28"/>
        </w:rPr>
        <w:t xml:space="preserve"> năm 2025 là </w:t>
      </w:r>
      <w:r w:rsidR="008D6BBE" w:rsidRPr="00F338CE">
        <w:rPr>
          <w:spacing w:val="-4"/>
          <w:sz w:val="28"/>
          <w:szCs w:val="28"/>
          <w:lang w:val="de-DE"/>
        </w:rPr>
        <w:t>84,65%</w:t>
      </w:r>
      <w:r w:rsidR="008D6BBE" w:rsidRPr="00F338CE">
        <w:rPr>
          <w:spacing w:val="-4"/>
          <w:szCs w:val="28"/>
          <w:lang w:val="de-DE"/>
        </w:rPr>
        <w:t xml:space="preserve"> và</w:t>
      </w:r>
      <w:r w:rsidRPr="00F338CE">
        <w:rPr>
          <w:bCs/>
          <w:spacing w:val="-4"/>
          <w:sz w:val="28"/>
          <w:szCs w:val="28"/>
        </w:rPr>
        <w:t xml:space="preserve"> Quý I năm 2026 đạt 94,96%. </w:t>
      </w:r>
      <w:r w:rsidR="00F338CE" w:rsidRPr="00F338CE">
        <w:rPr>
          <w:bCs/>
          <w:spacing w:val="-4"/>
          <w:sz w:val="28"/>
          <w:szCs w:val="28"/>
        </w:rPr>
        <w:t>Tỉnh cũng tiếp tục</w:t>
      </w:r>
      <w:r w:rsidRPr="00F338CE">
        <w:rPr>
          <w:bCs/>
          <w:spacing w:val="-4"/>
          <w:sz w:val="28"/>
          <w:szCs w:val="28"/>
        </w:rPr>
        <w:t xml:space="preserve"> duy trì nhiều mô hình sáng tạo, cách làm hay tại</w:t>
      </w:r>
      <w:r w:rsidR="00F338CE" w:rsidRPr="00F338CE">
        <w:rPr>
          <w:bCs/>
          <w:spacing w:val="-4"/>
          <w:sz w:val="28"/>
          <w:szCs w:val="28"/>
        </w:rPr>
        <w:t xml:space="preserve"> cấp tỉnh và</w:t>
      </w:r>
      <w:r w:rsidRPr="00F338CE">
        <w:rPr>
          <w:bCs/>
          <w:spacing w:val="-4"/>
          <w:sz w:val="28"/>
          <w:szCs w:val="28"/>
        </w:rPr>
        <w:t xml:space="preserve"> cơ sở, góp phần nâng cao mức độ hài lòng của người dân và doanh nghiệp</w:t>
      </w:r>
      <w:r w:rsidR="00164247" w:rsidRPr="00F338CE">
        <w:rPr>
          <w:bCs/>
          <w:spacing w:val="-4"/>
          <w:sz w:val="28"/>
          <w:szCs w:val="28"/>
        </w:rPr>
        <w:t>.</w:t>
      </w:r>
    </w:p>
    <w:p w14:paraId="20D14921" w14:textId="16628809" w:rsidR="00721D0B" w:rsidRPr="00F338CE"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
          <w:sz w:val="28"/>
          <w:szCs w:val="28"/>
        </w:rPr>
      </w:pPr>
      <w:r w:rsidRPr="00F338CE">
        <w:rPr>
          <w:b/>
          <w:sz w:val="28"/>
          <w:szCs w:val="28"/>
        </w:rPr>
        <w:t>2. Khó khăn, vướng mắc:</w:t>
      </w:r>
    </w:p>
    <w:p w14:paraId="3D3DCDC6" w14:textId="51C4D18F" w:rsidR="00B93F80" w:rsidRPr="00B93F80"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B93F80">
        <w:rPr>
          <w:bCs/>
          <w:spacing w:val="-4"/>
          <w:sz w:val="28"/>
          <w:szCs w:val="28"/>
        </w:rPr>
        <w:t xml:space="preserve">Trong quá trình triển khai thực hiện Nghị định số 118/2025/NĐ-CP của Chính phủ về thực hiện </w:t>
      </w:r>
      <w:r w:rsidRPr="00F338CE">
        <w:rPr>
          <w:bCs/>
          <w:spacing w:val="-4"/>
          <w:sz w:val="28"/>
          <w:szCs w:val="28"/>
        </w:rPr>
        <w:t xml:space="preserve">TTHC </w:t>
      </w:r>
      <w:r w:rsidRPr="00B93F80">
        <w:rPr>
          <w:bCs/>
          <w:spacing w:val="-4"/>
          <w:sz w:val="28"/>
          <w:szCs w:val="28"/>
        </w:rPr>
        <w:t xml:space="preserve">theo cơ chế một cửa, một cửa liên thông tại Bộ phận Một cửa </w:t>
      </w:r>
      <w:r w:rsidRPr="00B93F80">
        <w:rPr>
          <w:bCs/>
          <w:sz w:val="28"/>
          <w:szCs w:val="28"/>
        </w:rPr>
        <w:t>và Cổng Dịch vụ công quốc gia, tỉnh Đồng Tháp đã tổ chức thực hiện nghiêm túc, đồng bộ và đạt nhiều kết quả tích cực. Tuy nhiên, thực tiễn triển khai vẫn còn phát sinh một số khó khăn, vướng mắc cần tiếp tục được quan tâm tháo gỡ.</w:t>
      </w:r>
    </w:p>
    <w:p w14:paraId="1462AF85" w14:textId="77777777" w:rsidR="00C55DB6" w:rsidRPr="00C55DB6"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pacing w:val="-4"/>
          <w:sz w:val="28"/>
          <w:szCs w:val="28"/>
        </w:rPr>
      </w:pPr>
      <w:r w:rsidRPr="00B93F80">
        <w:rPr>
          <w:bCs/>
          <w:spacing w:val="-4"/>
          <w:sz w:val="28"/>
          <w:szCs w:val="28"/>
        </w:rPr>
        <w:t>Sau khi thực hiện sắp xếp đơn vị hành chính và tổ chức chính quyền địa phương 02 cấp, tại một số Trung tâm Phục vụ hành chính công cấp xã bước đầu còn gặp khó khăn về nhân sự, bố trí công chức làm việc tại Bộ phận Một cửa và</w:t>
      </w:r>
      <w:r w:rsidR="00F338CE" w:rsidRPr="00C55DB6">
        <w:rPr>
          <w:bCs/>
          <w:spacing w:val="-4"/>
          <w:sz w:val="28"/>
          <w:szCs w:val="28"/>
        </w:rPr>
        <w:t xml:space="preserve"> về</w:t>
      </w:r>
      <w:r w:rsidRPr="00B93F80">
        <w:rPr>
          <w:bCs/>
          <w:spacing w:val="-4"/>
          <w:sz w:val="28"/>
          <w:szCs w:val="28"/>
        </w:rPr>
        <w:t xml:space="preserve"> tổ chức vận hành theo mô hình mới. Bên cạnh đó, khối lượng hồ sơ </w:t>
      </w:r>
      <w:r w:rsidRPr="00C55DB6">
        <w:rPr>
          <w:bCs/>
          <w:spacing w:val="-4"/>
          <w:sz w:val="28"/>
          <w:szCs w:val="28"/>
        </w:rPr>
        <w:t xml:space="preserve">TTHC </w:t>
      </w:r>
      <w:r w:rsidRPr="00B93F80">
        <w:rPr>
          <w:bCs/>
          <w:spacing w:val="-4"/>
          <w:sz w:val="28"/>
          <w:szCs w:val="28"/>
        </w:rPr>
        <w:t>phát sinh lớn vào một số thời điểm cũng tạo áp lực nhất định đối với công tác tiếp nhận, xử lý hồ sơ.</w:t>
      </w:r>
      <w:r w:rsidRPr="00C55DB6">
        <w:rPr>
          <w:bCs/>
          <w:spacing w:val="-4"/>
          <w:sz w:val="28"/>
          <w:szCs w:val="28"/>
        </w:rPr>
        <w:t xml:space="preserve"> </w:t>
      </w:r>
    </w:p>
    <w:p w14:paraId="3B2166DA" w14:textId="77777777" w:rsidR="00C55DB6" w:rsidRPr="00C55DB6"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color w:val="EE0000"/>
          <w:spacing w:val="-4"/>
          <w:sz w:val="28"/>
          <w:szCs w:val="28"/>
        </w:rPr>
      </w:pPr>
      <w:r w:rsidRPr="00B93F80">
        <w:rPr>
          <w:bCs/>
          <w:spacing w:val="-4"/>
          <w:sz w:val="28"/>
          <w:szCs w:val="28"/>
        </w:rPr>
        <w:t>Về cơ sở vật chất, trụ sở và trang thiết bị, trong giai đoạn đầu thực hiện mô hình mới, một số đơn vị cấp xã còn khó khăn về diện tích bố trí nơi làm việc, khu vực tiếp nhận hồ sơ, trang thiết bị công nghệ thông tin và phương tiện phục vụ người dân.</w:t>
      </w:r>
      <w:r w:rsidR="00F338CE" w:rsidRPr="00C55DB6">
        <w:rPr>
          <w:bCs/>
          <w:color w:val="EE0000"/>
          <w:spacing w:val="-4"/>
          <w:sz w:val="28"/>
          <w:szCs w:val="28"/>
        </w:rPr>
        <w:t xml:space="preserve"> </w:t>
      </w:r>
    </w:p>
    <w:p w14:paraId="7233DD7F" w14:textId="3E007D12" w:rsidR="00B93F80" w:rsidRPr="00F338CE"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B93F80">
        <w:rPr>
          <w:bCs/>
          <w:sz w:val="28"/>
          <w:szCs w:val="28"/>
        </w:rPr>
        <w:t>Tuy nhiên, với sự quan tâm chỉ đạo quyết liệt của Tỉnh ủy, UBND tỉnh cùng sự chủ động của các địa phương, đến nay các khó khăn</w:t>
      </w:r>
      <w:r w:rsidR="00C55DB6">
        <w:rPr>
          <w:bCs/>
          <w:sz w:val="28"/>
          <w:szCs w:val="28"/>
        </w:rPr>
        <w:t xml:space="preserve"> nêu trên</w:t>
      </w:r>
      <w:r w:rsidRPr="00B93F80">
        <w:rPr>
          <w:bCs/>
          <w:sz w:val="28"/>
          <w:szCs w:val="28"/>
        </w:rPr>
        <w:t xml:space="preserve"> cơ bản đã được khắc phục; hầu hết trụ sở Trung tâm Phục vụ hành chính công đã đáp ứng yêu cầu, 100% đơn vị được trang bị cơ bản đầy đủ thiết bị cần thiết và đang tiếp tục được rà soát, nâng cấp, hoàn thiện để phục vụ ngày càng tốt hơn.</w:t>
      </w:r>
    </w:p>
    <w:p w14:paraId="1E3ADEB9" w14:textId="420BC543" w:rsidR="00B93F80" w:rsidRPr="00B93F80"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B93F80">
        <w:rPr>
          <w:bCs/>
          <w:sz w:val="28"/>
          <w:szCs w:val="28"/>
        </w:rPr>
        <w:t xml:space="preserve">Về hạ tầng số, trong thời gian đầu triển khai sau sáp nhập tỉnh và thực hiện mô hình tập trung, địa phương phải đồng thời điều chỉnh, tích hợp và vận hành nhiều hệ thống thông tin giải quyết </w:t>
      </w:r>
      <w:r w:rsidRPr="00F338CE">
        <w:rPr>
          <w:bCs/>
          <w:sz w:val="28"/>
          <w:szCs w:val="28"/>
        </w:rPr>
        <w:t xml:space="preserve">TTHC </w:t>
      </w:r>
      <w:r w:rsidRPr="00B93F80">
        <w:rPr>
          <w:bCs/>
          <w:sz w:val="28"/>
          <w:szCs w:val="28"/>
        </w:rPr>
        <w:t>khác nhau. Việc chuyển đổi dữ liệu, chuẩn hóa quy trình điện tử, cấu hình tài khoản người dùng, đồng bộ hồ sơ giữa các hệ thống có thời điểm còn phát sinh lỗi kỹ thuật, ảnh hưởng nhất định đến tiến độ xử lý hồ sơ.</w:t>
      </w:r>
      <w:r w:rsidRPr="00F338CE">
        <w:rPr>
          <w:bCs/>
          <w:sz w:val="28"/>
          <w:szCs w:val="28"/>
        </w:rPr>
        <w:t xml:space="preserve"> </w:t>
      </w:r>
      <w:r w:rsidRPr="00B93F80">
        <w:rPr>
          <w:bCs/>
          <w:sz w:val="28"/>
          <w:szCs w:val="28"/>
        </w:rPr>
        <w:t xml:space="preserve">Đối với các Hệ thống thông tin giải quyết </w:t>
      </w:r>
      <w:r w:rsidRPr="00F338CE">
        <w:rPr>
          <w:bCs/>
          <w:sz w:val="28"/>
          <w:szCs w:val="28"/>
        </w:rPr>
        <w:t xml:space="preserve">TTHC </w:t>
      </w:r>
      <w:r w:rsidRPr="00B93F80">
        <w:rPr>
          <w:bCs/>
          <w:sz w:val="28"/>
          <w:szCs w:val="28"/>
        </w:rPr>
        <w:t>của bộ, ngành Trung ương theo mô hình tập trung, trong quá trình triển khai phát sinh một số khó khăn như: quy trình nghiệp vụ thay đổi</w:t>
      </w:r>
      <w:r w:rsidRPr="00F338CE">
        <w:rPr>
          <w:bCs/>
          <w:sz w:val="28"/>
          <w:szCs w:val="28"/>
        </w:rPr>
        <w:t xml:space="preserve"> </w:t>
      </w:r>
      <w:r w:rsidRPr="00B93F80">
        <w:rPr>
          <w:bCs/>
          <w:sz w:val="28"/>
          <w:szCs w:val="28"/>
        </w:rPr>
        <w:t>trong giai đoạn hoàn thiện hệ thống; thời điểm đầu chưa đồng bộ hoàn toàn với quy trình xử lý của địa phương; việc liên thông trạng thái hồ sơ, dữ liệu thanh toán, dữ liệu kết quả giải quyết có lúc còn chậm; một số chức năng chưa thật sự ổn định hoặc cần điều chỉnh để phù hợp thực tiễn sử dụng. Ngoài ra, cán bộ, công chức địa phương phải cùng lúc sử dụng nhiều hệ thống chuyên ngành khác nhau nên cần thêm thời gian thích nghi, tập huấn và cập nhật nghiệp vụ.</w:t>
      </w:r>
    </w:p>
    <w:p w14:paraId="537F293C" w14:textId="406B58A4" w:rsidR="00B93F80" w:rsidRPr="00B93F80"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B93F80">
        <w:rPr>
          <w:bCs/>
          <w:sz w:val="28"/>
          <w:szCs w:val="28"/>
        </w:rPr>
        <w:t xml:space="preserve">Việc kết nối, chia sẻ dữ liệu với một số cơ sở dữ liệu quốc gia, cơ sở dữ liệu </w:t>
      </w:r>
      <w:r w:rsidRPr="00B93F80">
        <w:rPr>
          <w:bCs/>
          <w:sz w:val="28"/>
          <w:szCs w:val="28"/>
        </w:rPr>
        <w:lastRenderedPageBreak/>
        <w:t xml:space="preserve">chuyên ngành tuy đã được quan tâm triển khai nhưng vẫn còn trường hợp chưa đầy đủ thông tin hoặc chưa ổn định tuyệt đối, nên hiệu quả tái sử dụng dữ liệu trong giải quyết </w:t>
      </w:r>
      <w:r w:rsidR="00F338CE">
        <w:rPr>
          <w:bCs/>
          <w:sz w:val="28"/>
          <w:szCs w:val="28"/>
        </w:rPr>
        <w:t xml:space="preserve">TTHC </w:t>
      </w:r>
      <w:r w:rsidRPr="00B93F80">
        <w:rPr>
          <w:bCs/>
          <w:sz w:val="28"/>
          <w:szCs w:val="28"/>
        </w:rPr>
        <w:t>có lúc còn hạn chế.</w:t>
      </w:r>
    </w:p>
    <w:p w14:paraId="34233A81" w14:textId="77777777" w:rsidR="00F26565" w:rsidRDefault="00B93F80"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B93F80">
        <w:rPr>
          <w:bCs/>
          <w:sz w:val="28"/>
          <w:szCs w:val="28"/>
        </w:rPr>
        <w:t xml:space="preserve">Đối với việc sử dụng dịch vụ công trực tuyến, mặc dù tỷ lệ hồ sơ trực tuyến của tỉnh đạt mức cao, song một bộ phận người dân vẫn còn thói quen nộp hồ sơ trực </w:t>
      </w:r>
      <w:r w:rsidRPr="00B93F80">
        <w:rPr>
          <w:bCs/>
          <w:spacing w:val="-6"/>
          <w:sz w:val="28"/>
          <w:szCs w:val="28"/>
        </w:rPr>
        <w:t>tiếp, thanh toán bằng tiền mặt</w:t>
      </w:r>
      <w:r w:rsidR="00F338CE" w:rsidRPr="00F338CE">
        <w:rPr>
          <w:bCs/>
          <w:spacing w:val="-6"/>
          <w:sz w:val="28"/>
          <w:szCs w:val="28"/>
        </w:rPr>
        <w:t xml:space="preserve"> hoặc còn trông chờ vào sự hướng dẫn, hỗ trợ của cán bộ,</w:t>
      </w:r>
      <w:r w:rsidR="00F338CE">
        <w:rPr>
          <w:bCs/>
          <w:sz w:val="28"/>
          <w:szCs w:val="28"/>
        </w:rPr>
        <w:t xml:space="preserve"> công chức khi thực hiện dịch vụ công trực tuyến</w:t>
      </w:r>
      <w:r w:rsidRPr="00B93F80">
        <w:rPr>
          <w:bCs/>
          <w:sz w:val="28"/>
          <w:szCs w:val="28"/>
        </w:rPr>
        <w:t>; kỹ năng số của một số người dân, nhất là khu vực nông thôn, còn hạn chế nên cần tiếp tục hỗ trợ, hướng dẫn.</w:t>
      </w:r>
    </w:p>
    <w:p w14:paraId="71943475" w14:textId="1E78DAC3" w:rsidR="00F338CE" w:rsidRPr="00F338CE" w:rsidRDefault="00F338CE"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F338CE">
        <w:rPr>
          <w:bCs/>
          <w:sz w:val="28"/>
          <w:szCs w:val="28"/>
        </w:rPr>
        <w:t>Nghị định số 118/2025/NĐ-CP</w:t>
      </w:r>
      <w:r w:rsidR="00F26565">
        <w:rPr>
          <w:bCs/>
          <w:sz w:val="28"/>
          <w:szCs w:val="28"/>
        </w:rPr>
        <w:t xml:space="preserve"> còn</w:t>
      </w:r>
      <w:r w:rsidRPr="00F338CE">
        <w:rPr>
          <w:bCs/>
          <w:sz w:val="28"/>
          <w:szCs w:val="28"/>
        </w:rPr>
        <w:t xml:space="preserve"> một số quy định liên quan đến phân công nhiệm vụ, điều kiện bảo đảm thực hiện, quy trình xử lý hồ sơ và tổ chức thực hiện </w:t>
      </w:r>
      <w:r w:rsidRPr="00347861">
        <w:rPr>
          <w:bCs/>
          <w:spacing w:val="-8"/>
          <w:sz w:val="28"/>
          <w:szCs w:val="28"/>
        </w:rPr>
        <w:t>trên môi trường điện tử còn phát sinh khó khăn, vướng mắc, cần tiếp tục được nghiên cứu,</w:t>
      </w:r>
      <w:r w:rsidRPr="00F338CE">
        <w:rPr>
          <w:bCs/>
          <w:sz w:val="28"/>
          <w:szCs w:val="28"/>
        </w:rPr>
        <w:t xml:space="preserve"> hướng dẫn hoặc rà soát, điều chỉnh cho phù hợp với thực tiễn</w:t>
      </w:r>
      <w:r w:rsidR="00F26565">
        <w:rPr>
          <w:bCs/>
          <w:sz w:val="28"/>
          <w:szCs w:val="28"/>
        </w:rPr>
        <w:t xml:space="preserve"> hiện nay.</w:t>
      </w:r>
    </w:p>
    <w:p w14:paraId="1A27B8D2" w14:textId="12163CB2" w:rsidR="00B93F80" w:rsidRPr="00347861" w:rsidRDefault="00721D0B"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
          <w:sz w:val="28"/>
          <w:szCs w:val="28"/>
        </w:rPr>
      </w:pPr>
      <w:r w:rsidRPr="00347861">
        <w:rPr>
          <w:b/>
          <w:sz w:val="28"/>
          <w:szCs w:val="28"/>
        </w:rPr>
        <w:t>3. Đề xuất, kiến nghị</w:t>
      </w:r>
      <w:r w:rsidR="00807E67">
        <w:rPr>
          <w:b/>
          <w:sz w:val="28"/>
          <w:szCs w:val="28"/>
        </w:rPr>
        <w:t xml:space="preserve"> (</w:t>
      </w:r>
      <w:r w:rsidR="000055E9" w:rsidRPr="000055E9">
        <w:rPr>
          <w:bCs/>
          <w:sz w:val="28"/>
          <w:szCs w:val="28"/>
        </w:rPr>
        <w:t>Không có</w:t>
      </w:r>
      <w:r w:rsidR="00807E67">
        <w:rPr>
          <w:bCs/>
          <w:sz w:val="28"/>
          <w:szCs w:val="28"/>
        </w:rPr>
        <w:t>)</w:t>
      </w:r>
      <w:r w:rsidR="000055E9">
        <w:rPr>
          <w:bCs/>
          <w:sz w:val="28"/>
          <w:szCs w:val="28"/>
        </w:rPr>
        <w:t>.</w:t>
      </w:r>
    </w:p>
    <w:p w14:paraId="7B45ACF3" w14:textId="235FACBB" w:rsidR="00625AEF" w:rsidRPr="00347861" w:rsidRDefault="001455AF" w:rsidP="00785A9E">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340" w:lineRule="atLeast"/>
        <w:ind w:firstLine="720"/>
        <w:jc w:val="both"/>
        <w:rPr>
          <w:bCs/>
          <w:sz w:val="28"/>
          <w:szCs w:val="28"/>
        </w:rPr>
      </w:pPr>
      <w:r w:rsidRPr="00347861">
        <w:rPr>
          <w:bCs/>
          <w:i/>
          <w:iCs/>
          <w:sz w:val="28"/>
          <w:szCs w:val="28"/>
        </w:rPr>
        <w:t>(Đính kèm Phụ lục</w:t>
      </w:r>
      <w:r w:rsidR="00347861">
        <w:rPr>
          <w:bCs/>
          <w:i/>
          <w:iCs/>
          <w:sz w:val="28"/>
          <w:szCs w:val="28"/>
        </w:rPr>
        <w:t xml:space="preserve"> chi tiết</w:t>
      </w:r>
      <w:r w:rsidRPr="00347861">
        <w:rPr>
          <w:bCs/>
          <w:i/>
          <w:iCs/>
          <w:sz w:val="28"/>
          <w:szCs w:val="28"/>
        </w:rPr>
        <w:t xml:space="preserve"> rà soát Nghị định số 118/2025/NĐ-CP được sửa đổi, bổ sung tại Nghị định số 367/2025/NĐ-CP của Chính phủ)</w:t>
      </w:r>
      <w:r w:rsidR="00007946" w:rsidRPr="00347861">
        <w:rPr>
          <w:bCs/>
          <w:sz w:val="28"/>
          <w:szCs w:val="28"/>
        </w:rPr>
        <w:t>/.</w:t>
      </w:r>
    </w:p>
    <w:tbl>
      <w:tblPr>
        <w:tblW w:w="9356" w:type="dxa"/>
        <w:jc w:val="center"/>
        <w:tblCellMar>
          <w:left w:w="10" w:type="dxa"/>
          <w:right w:w="10" w:type="dxa"/>
        </w:tblCellMar>
        <w:tblLook w:val="0000" w:firstRow="0" w:lastRow="0" w:firstColumn="0" w:lastColumn="0" w:noHBand="0" w:noVBand="0"/>
      </w:tblPr>
      <w:tblGrid>
        <w:gridCol w:w="4536"/>
        <w:gridCol w:w="4820"/>
      </w:tblGrid>
      <w:tr w:rsidR="00C027D8" w:rsidRPr="00C027D8" w14:paraId="737B4CF7" w14:textId="77777777" w:rsidTr="00C1789A">
        <w:trPr>
          <w:trHeight w:val="2027"/>
          <w:jc w:val="center"/>
        </w:trPr>
        <w:tc>
          <w:tcPr>
            <w:tcW w:w="4536" w:type="dxa"/>
            <w:shd w:val="clear" w:color="000000" w:fill="FFFFFF"/>
            <w:tcMar>
              <w:left w:w="108" w:type="dxa"/>
              <w:right w:w="108" w:type="dxa"/>
            </w:tcMar>
          </w:tcPr>
          <w:p w14:paraId="178E653E" w14:textId="77777777" w:rsidR="008752CC" w:rsidRPr="00347861" w:rsidRDefault="008752CC" w:rsidP="00AF6F11">
            <w:pPr>
              <w:tabs>
                <w:tab w:val="left" w:pos="1152"/>
              </w:tabs>
              <w:rPr>
                <w:b/>
                <w:iCs/>
                <w:sz w:val="24"/>
                <w:lang w:val="nb-NO"/>
              </w:rPr>
            </w:pPr>
            <w:r w:rsidRPr="00347861">
              <w:rPr>
                <w:b/>
                <w:i/>
                <w:sz w:val="24"/>
                <w:lang w:val="nb-NO"/>
              </w:rPr>
              <w:t>Nơi nhận:</w:t>
            </w:r>
          </w:p>
          <w:p w14:paraId="4CCEC6C0" w14:textId="36075C5C" w:rsidR="008752CC" w:rsidRPr="00347861" w:rsidRDefault="008752CC" w:rsidP="00AF6F11">
            <w:pPr>
              <w:tabs>
                <w:tab w:val="left" w:pos="1152"/>
              </w:tabs>
              <w:rPr>
                <w:sz w:val="22"/>
                <w:lang w:val="nb-NO"/>
              </w:rPr>
            </w:pPr>
            <w:r w:rsidRPr="00347861">
              <w:rPr>
                <w:iCs/>
                <w:sz w:val="24"/>
                <w:lang w:val="nb-NO"/>
              </w:rPr>
              <w:t>- Cục Kiểm soát TTHC</w:t>
            </w:r>
            <w:r w:rsidR="00C1789A" w:rsidRPr="00347861">
              <w:rPr>
                <w:iCs/>
                <w:sz w:val="24"/>
                <w:lang w:val="nb-NO"/>
              </w:rPr>
              <w:t xml:space="preserve"> – Bộ Tư pháp</w:t>
            </w:r>
            <w:r w:rsidRPr="00347861">
              <w:rPr>
                <w:iCs/>
                <w:sz w:val="24"/>
                <w:lang w:val="nb-NO"/>
              </w:rPr>
              <w:t>;</w:t>
            </w:r>
            <w:r w:rsidRPr="00347861">
              <w:rPr>
                <w:sz w:val="24"/>
                <w:lang w:val="nb-NO"/>
              </w:rPr>
              <w:br/>
            </w:r>
            <w:r w:rsidRPr="00347861">
              <w:rPr>
                <w:sz w:val="22"/>
                <w:lang w:val="nb-NO"/>
              </w:rPr>
              <w:t>- CT và các PCT UBND tỉnh;</w:t>
            </w:r>
          </w:p>
          <w:p w14:paraId="33AB9BAD" w14:textId="77777777" w:rsidR="008752CC" w:rsidRPr="00347861" w:rsidRDefault="008752CC" w:rsidP="00AF6F11">
            <w:pPr>
              <w:tabs>
                <w:tab w:val="left" w:pos="1152"/>
              </w:tabs>
              <w:rPr>
                <w:sz w:val="22"/>
                <w:lang w:val="nb-NO"/>
              </w:rPr>
            </w:pPr>
            <w:r w:rsidRPr="00347861">
              <w:rPr>
                <w:sz w:val="22"/>
                <w:lang w:val="nb-NO"/>
              </w:rPr>
              <w:t>- Các sở, ban, ngành tỉnh;</w:t>
            </w:r>
          </w:p>
          <w:p w14:paraId="216DF6E1" w14:textId="77777777" w:rsidR="008752CC" w:rsidRPr="00347861" w:rsidRDefault="008752CC" w:rsidP="00AF6F11">
            <w:pPr>
              <w:tabs>
                <w:tab w:val="left" w:pos="1152"/>
              </w:tabs>
              <w:rPr>
                <w:sz w:val="22"/>
                <w:lang w:val="nb-NO"/>
              </w:rPr>
            </w:pPr>
            <w:r w:rsidRPr="00347861">
              <w:rPr>
                <w:sz w:val="22"/>
                <w:lang w:val="nb-NO"/>
              </w:rPr>
              <w:t xml:space="preserve">- VPUBND tỉnh: CVP, các PCVP, Trung tâm </w:t>
            </w:r>
          </w:p>
          <w:p w14:paraId="12A4DDAC" w14:textId="77777777" w:rsidR="008752CC" w:rsidRPr="00347861" w:rsidRDefault="008752CC" w:rsidP="00AF6F11">
            <w:pPr>
              <w:tabs>
                <w:tab w:val="left" w:pos="1152"/>
              </w:tabs>
              <w:rPr>
                <w:sz w:val="22"/>
                <w:lang w:val="nb-NO"/>
              </w:rPr>
            </w:pPr>
            <w:r w:rsidRPr="00347861">
              <w:rPr>
                <w:sz w:val="22"/>
                <w:lang w:val="nb-NO"/>
              </w:rPr>
              <w:t xml:space="preserve">   PVHCC;</w:t>
            </w:r>
          </w:p>
          <w:p w14:paraId="59D8D158" w14:textId="77777777" w:rsidR="008752CC" w:rsidRPr="00347861" w:rsidRDefault="008752CC" w:rsidP="00AF6F11">
            <w:pPr>
              <w:tabs>
                <w:tab w:val="left" w:pos="1152"/>
              </w:tabs>
            </w:pPr>
            <w:r w:rsidRPr="00347861">
              <w:rPr>
                <w:sz w:val="22"/>
              </w:rPr>
              <w:t>- Lưu: VT, KSTT (A).</w:t>
            </w:r>
            <w:r w:rsidRPr="00347861">
              <w:tab/>
            </w:r>
          </w:p>
        </w:tc>
        <w:tc>
          <w:tcPr>
            <w:tcW w:w="4820" w:type="dxa"/>
            <w:shd w:val="clear" w:color="000000" w:fill="FFFFFF"/>
            <w:tcMar>
              <w:left w:w="108" w:type="dxa"/>
              <w:right w:w="108" w:type="dxa"/>
            </w:tcMar>
          </w:tcPr>
          <w:p w14:paraId="6DE41035" w14:textId="77777777" w:rsidR="008752CC" w:rsidRPr="00347861" w:rsidRDefault="008752CC" w:rsidP="00AF6F11">
            <w:pPr>
              <w:tabs>
                <w:tab w:val="left" w:pos="1152"/>
              </w:tabs>
              <w:jc w:val="center"/>
              <w:rPr>
                <w:b/>
                <w:szCs w:val="28"/>
              </w:rPr>
            </w:pPr>
            <w:r w:rsidRPr="00347861">
              <w:rPr>
                <w:b/>
                <w:szCs w:val="28"/>
              </w:rPr>
              <w:t>TM. ỦY BAN NHÂN DÂN</w:t>
            </w:r>
          </w:p>
          <w:p w14:paraId="7CEC4B95" w14:textId="4BB36F63" w:rsidR="00D12575" w:rsidRPr="00347861" w:rsidRDefault="008752CC" w:rsidP="00AF6F11">
            <w:pPr>
              <w:tabs>
                <w:tab w:val="left" w:pos="1152"/>
                <w:tab w:val="left" w:pos="1365"/>
                <w:tab w:val="center" w:pos="2117"/>
              </w:tabs>
              <w:jc w:val="center"/>
              <w:rPr>
                <w:b/>
                <w:szCs w:val="28"/>
              </w:rPr>
            </w:pPr>
            <w:r w:rsidRPr="00347861">
              <w:rPr>
                <w:b/>
                <w:szCs w:val="28"/>
              </w:rPr>
              <w:t>CHỦ TỊCH</w:t>
            </w:r>
          </w:p>
          <w:p w14:paraId="614EA907" w14:textId="3DC5140A" w:rsidR="008752CC" w:rsidRPr="00347861" w:rsidRDefault="008752CC" w:rsidP="00AF6F11">
            <w:pPr>
              <w:tabs>
                <w:tab w:val="left" w:pos="1152"/>
                <w:tab w:val="left" w:pos="1365"/>
                <w:tab w:val="center" w:pos="2117"/>
              </w:tabs>
              <w:jc w:val="center"/>
              <w:rPr>
                <w:szCs w:val="28"/>
              </w:rPr>
            </w:pPr>
            <w:r w:rsidRPr="00347861">
              <w:rPr>
                <w:b/>
                <w:szCs w:val="28"/>
              </w:rPr>
              <w:br/>
            </w:r>
          </w:p>
          <w:p w14:paraId="21B7616A" w14:textId="77777777" w:rsidR="008752CC" w:rsidRPr="00347861" w:rsidRDefault="008752CC" w:rsidP="00AF6F11">
            <w:pPr>
              <w:tabs>
                <w:tab w:val="left" w:pos="1152"/>
              </w:tabs>
              <w:jc w:val="center"/>
              <w:rPr>
                <w:i/>
                <w:szCs w:val="28"/>
              </w:rPr>
            </w:pPr>
          </w:p>
          <w:p w14:paraId="1320DA41" w14:textId="77777777" w:rsidR="008752CC" w:rsidRPr="00347861" w:rsidRDefault="008752CC" w:rsidP="00AF6F11">
            <w:pPr>
              <w:tabs>
                <w:tab w:val="left" w:pos="1152"/>
              </w:tabs>
              <w:jc w:val="center"/>
              <w:rPr>
                <w:i/>
              </w:rPr>
            </w:pPr>
          </w:p>
          <w:p w14:paraId="6E61B2AC" w14:textId="77777777" w:rsidR="008752CC" w:rsidRPr="00347861" w:rsidRDefault="008752CC" w:rsidP="00AF6F11">
            <w:pPr>
              <w:tabs>
                <w:tab w:val="left" w:pos="1152"/>
              </w:tabs>
              <w:jc w:val="center"/>
              <w:rPr>
                <w:i/>
                <w:szCs w:val="28"/>
              </w:rPr>
            </w:pPr>
          </w:p>
          <w:p w14:paraId="35106021" w14:textId="77777777" w:rsidR="008752CC" w:rsidRPr="00347861" w:rsidRDefault="008752CC" w:rsidP="00AF6F11">
            <w:pPr>
              <w:tabs>
                <w:tab w:val="left" w:pos="1152"/>
              </w:tabs>
              <w:jc w:val="center"/>
              <w:rPr>
                <w:i/>
                <w:szCs w:val="28"/>
              </w:rPr>
            </w:pPr>
          </w:p>
          <w:p w14:paraId="50449E57" w14:textId="1CDCF7C9" w:rsidR="008752CC" w:rsidRPr="00347861" w:rsidRDefault="00264CA0" w:rsidP="00AF6F11">
            <w:pPr>
              <w:tabs>
                <w:tab w:val="left" w:pos="1152"/>
              </w:tabs>
              <w:jc w:val="center"/>
              <w:rPr>
                <w:b/>
                <w:szCs w:val="28"/>
              </w:rPr>
            </w:pPr>
            <w:r w:rsidRPr="00347861">
              <w:rPr>
                <w:b/>
                <w:szCs w:val="28"/>
              </w:rPr>
              <w:t>Phạm Thành Ngại</w:t>
            </w:r>
          </w:p>
        </w:tc>
      </w:tr>
    </w:tbl>
    <w:p w14:paraId="2AB0E1D9" w14:textId="77777777" w:rsidR="001476D7" w:rsidRDefault="001476D7" w:rsidP="00625AEF">
      <w:pPr>
        <w:pStyle w:val="Title"/>
        <w:spacing w:before="0"/>
        <w:ind w:left="0" w:right="1157"/>
        <w:jc w:val="left"/>
        <w:rPr>
          <w:lang w:val="en-US"/>
        </w:rPr>
      </w:pPr>
    </w:p>
    <w:p w14:paraId="576B3A10" w14:textId="77777777" w:rsidR="00893218" w:rsidRDefault="00893218" w:rsidP="00625AEF">
      <w:pPr>
        <w:pStyle w:val="Title"/>
        <w:spacing w:before="0"/>
        <w:ind w:left="0" w:right="1157"/>
        <w:jc w:val="left"/>
        <w:rPr>
          <w:lang w:val="en-US"/>
        </w:rPr>
        <w:sectPr w:rsidR="00893218" w:rsidSect="007729EF">
          <w:headerReference w:type="even" r:id="rId8"/>
          <w:headerReference w:type="default" r:id="rId9"/>
          <w:footerReference w:type="default" r:id="rId10"/>
          <w:footerReference w:type="first" r:id="rId11"/>
          <w:pgSz w:w="11907" w:h="16840" w:code="9"/>
          <w:pgMar w:top="1134" w:right="1134" w:bottom="1134" w:left="1418" w:header="720" w:footer="590" w:gutter="0"/>
          <w:cols w:space="720"/>
          <w:titlePg/>
          <w:docGrid w:linePitch="381"/>
        </w:sectPr>
      </w:pPr>
    </w:p>
    <w:p w14:paraId="6D956B24" w14:textId="0F63A977" w:rsidR="00893218" w:rsidRPr="00347861" w:rsidRDefault="00893218" w:rsidP="00893218">
      <w:pPr>
        <w:pStyle w:val="Title"/>
        <w:spacing w:before="0"/>
        <w:ind w:left="0" w:right="1157"/>
        <w:rPr>
          <w:lang w:val="en-US"/>
        </w:rPr>
      </w:pPr>
      <w:r w:rsidRPr="00347861">
        <w:rPr>
          <w:lang w:val="en-US"/>
        </w:rPr>
        <w:lastRenderedPageBreak/>
        <w:t>Phục lục</w:t>
      </w:r>
    </w:p>
    <w:p w14:paraId="5C94878F" w14:textId="2A2F5F0A" w:rsidR="00893218" w:rsidRPr="00347861" w:rsidRDefault="00893218" w:rsidP="00893218">
      <w:pPr>
        <w:pStyle w:val="Title"/>
        <w:spacing w:before="0"/>
        <w:ind w:right="1157"/>
        <w:rPr>
          <w:lang w:val="en-US"/>
        </w:rPr>
      </w:pPr>
      <w:r w:rsidRPr="00347861">
        <w:rPr>
          <w:lang w:val="en-US"/>
        </w:rPr>
        <w:t>RÀ SOÁT NGHỊ ĐỊNH SỐ 118/2025/NĐ-CP NGÀY 09</w:t>
      </w:r>
      <w:r w:rsidR="00347861">
        <w:rPr>
          <w:lang w:val="en-US"/>
        </w:rPr>
        <w:t xml:space="preserve"> THÁNG </w:t>
      </w:r>
      <w:r w:rsidRPr="00347861">
        <w:rPr>
          <w:lang w:val="en-US"/>
        </w:rPr>
        <w:t>6</w:t>
      </w:r>
      <w:r w:rsidR="00347861">
        <w:rPr>
          <w:lang w:val="en-US"/>
        </w:rPr>
        <w:t xml:space="preserve"> NĂM </w:t>
      </w:r>
      <w:r w:rsidRPr="00347861">
        <w:rPr>
          <w:lang w:val="en-US"/>
        </w:rPr>
        <w:t>2025 CỦA CHÍNH PHỦ</w:t>
      </w:r>
    </w:p>
    <w:p w14:paraId="2D1773BD" w14:textId="77777777" w:rsidR="00893218" w:rsidRPr="00347861" w:rsidRDefault="00893218" w:rsidP="00893218">
      <w:pPr>
        <w:pStyle w:val="Title"/>
        <w:spacing w:before="0"/>
        <w:ind w:right="1157"/>
        <w:rPr>
          <w:lang w:val="en-US"/>
        </w:rPr>
      </w:pPr>
      <w:r w:rsidRPr="00347861">
        <w:rPr>
          <w:lang w:val="en-US"/>
        </w:rPr>
        <w:t>(ĐÃ ĐƯỢC SỬA ĐỔI, BỔ SUNG TẠI NGHỊ ĐỊNH SỐ 367/2025/NĐ-CP)</w:t>
      </w:r>
    </w:p>
    <w:p w14:paraId="6CE95386" w14:textId="48C9BD38" w:rsidR="00893218" w:rsidRPr="00347861" w:rsidRDefault="00893218" w:rsidP="00893218">
      <w:pPr>
        <w:pStyle w:val="Title"/>
        <w:spacing w:before="0"/>
        <w:ind w:right="1157"/>
        <w:rPr>
          <w:b w:val="0"/>
          <w:bCs w:val="0"/>
          <w:i/>
          <w:iCs/>
          <w:lang w:val="en-US"/>
        </w:rPr>
      </w:pPr>
      <w:r w:rsidRPr="00347861">
        <w:rPr>
          <w:b w:val="0"/>
          <w:bCs w:val="0"/>
          <w:i/>
          <w:iCs/>
          <w:lang w:val="en-US"/>
        </w:rPr>
        <w:t xml:space="preserve">(Kèm theo </w:t>
      </w:r>
      <w:r w:rsidR="00A7060F">
        <w:rPr>
          <w:b w:val="0"/>
          <w:bCs w:val="0"/>
          <w:i/>
          <w:iCs/>
          <w:lang w:val="en-US"/>
        </w:rPr>
        <w:t>Báo cáo</w:t>
      </w:r>
      <w:r w:rsidRPr="00347861">
        <w:rPr>
          <w:b w:val="0"/>
          <w:bCs w:val="0"/>
          <w:i/>
          <w:iCs/>
          <w:lang w:val="en-US"/>
        </w:rPr>
        <w:t xml:space="preserve"> số          /</w:t>
      </w:r>
      <w:r w:rsidR="00A7060F">
        <w:rPr>
          <w:b w:val="0"/>
          <w:bCs w:val="0"/>
          <w:i/>
          <w:iCs/>
          <w:lang w:val="en-US"/>
        </w:rPr>
        <w:t>BC-</w:t>
      </w:r>
      <w:r w:rsidRPr="00347861">
        <w:rPr>
          <w:b w:val="0"/>
          <w:bCs w:val="0"/>
          <w:i/>
          <w:iCs/>
          <w:lang w:val="en-US"/>
        </w:rPr>
        <w:t>UBND</w:t>
      </w:r>
      <w:r w:rsidR="00A7060F">
        <w:rPr>
          <w:b w:val="0"/>
          <w:bCs w:val="0"/>
          <w:i/>
          <w:iCs/>
          <w:lang w:val="en-US"/>
        </w:rPr>
        <w:t xml:space="preserve"> </w:t>
      </w:r>
      <w:r w:rsidRPr="00347861">
        <w:rPr>
          <w:b w:val="0"/>
          <w:bCs w:val="0"/>
          <w:i/>
          <w:iCs/>
          <w:lang w:val="en-US"/>
        </w:rPr>
        <w:t>ngày      tháng      năm 2026 của UBND tỉnh Đồng Tháp)</w:t>
      </w:r>
    </w:p>
    <w:p w14:paraId="3FDB2EC0" w14:textId="77777777" w:rsidR="00893218" w:rsidRDefault="00893218" w:rsidP="00893218">
      <w:pPr>
        <w:pStyle w:val="Title"/>
        <w:spacing w:before="0"/>
        <w:ind w:left="0" w:right="1157"/>
        <w:rPr>
          <w:lang w:val="en-US"/>
        </w:rPr>
      </w:pP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5"/>
        <w:gridCol w:w="1969"/>
        <w:gridCol w:w="5329"/>
        <w:gridCol w:w="3119"/>
        <w:gridCol w:w="2551"/>
        <w:gridCol w:w="969"/>
      </w:tblGrid>
      <w:tr w:rsidR="007F7A7E" w:rsidRPr="00970C43" w14:paraId="55EC3EBF" w14:textId="2C822B08" w:rsidTr="00E810CA">
        <w:trPr>
          <w:tblHeader/>
        </w:trPr>
        <w:tc>
          <w:tcPr>
            <w:tcW w:w="635" w:type="dxa"/>
          </w:tcPr>
          <w:p w14:paraId="0A39B18C" w14:textId="77777777" w:rsidR="007F7A7E" w:rsidRPr="00347861" w:rsidRDefault="007F7A7E" w:rsidP="007F7A7E">
            <w:pPr>
              <w:jc w:val="center"/>
              <w:rPr>
                <w:b/>
                <w:bCs/>
              </w:rPr>
            </w:pPr>
          </w:p>
          <w:p w14:paraId="22B01499" w14:textId="77777777" w:rsidR="007F7A7E" w:rsidRPr="00347861" w:rsidRDefault="007F7A7E" w:rsidP="007F7A7E">
            <w:pPr>
              <w:jc w:val="center"/>
              <w:rPr>
                <w:b/>
                <w:bCs/>
              </w:rPr>
            </w:pPr>
          </w:p>
          <w:p w14:paraId="713210C8" w14:textId="625CF1AB" w:rsidR="007F7A7E" w:rsidRPr="00347861" w:rsidRDefault="007F7A7E" w:rsidP="007F7A7E">
            <w:pPr>
              <w:jc w:val="center"/>
              <w:rPr>
                <w:b/>
                <w:bCs/>
              </w:rPr>
            </w:pPr>
            <w:r w:rsidRPr="00347861">
              <w:rPr>
                <w:b/>
                <w:bCs/>
              </w:rPr>
              <w:t>STT</w:t>
            </w:r>
          </w:p>
        </w:tc>
        <w:tc>
          <w:tcPr>
            <w:tcW w:w="1969" w:type="dxa"/>
            <w:vAlign w:val="center"/>
            <w:hideMark/>
          </w:tcPr>
          <w:p w14:paraId="4C8E205D" w14:textId="44E5E353" w:rsidR="007F7A7E" w:rsidRPr="00970C43" w:rsidRDefault="007F7A7E" w:rsidP="007F7A7E">
            <w:pPr>
              <w:jc w:val="center"/>
              <w:rPr>
                <w:b/>
                <w:bCs/>
              </w:rPr>
            </w:pPr>
            <w:r w:rsidRPr="00970C43">
              <w:rPr>
                <w:b/>
                <w:bCs/>
              </w:rPr>
              <w:t>Điều, Khoản của Nghị định số 118/2025/NĐ-CP đề xuất sửa đổi, bổ sung</w:t>
            </w:r>
          </w:p>
        </w:tc>
        <w:tc>
          <w:tcPr>
            <w:tcW w:w="5329" w:type="dxa"/>
            <w:vAlign w:val="center"/>
            <w:hideMark/>
          </w:tcPr>
          <w:p w14:paraId="0F4A453C" w14:textId="22738EFF" w:rsidR="007F7A7E" w:rsidRPr="00347861" w:rsidRDefault="007F7A7E" w:rsidP="007F7A7E">
            <w:pPr>
              <w:jc w:val="center"/>
              <w:rPr>
                <w:b/>
                <w:bCs/>
              </w:rPr>
            </w:pPr>
            <w:r w:rsidRPr="00970C43">
              <w:rPr>
                <w:b/>
                <w:bCs/>
              </w:rPr>
              <w:t>Mô tả khó khăn, vướng mắc</w:t>
            </w:r>
          </w:p>
          <w:p w14:paraId="037C64D5" w14:textId="5B217B98" w:rsidR="007F7A7E" w:rsidRPr="00970C43" w:rsidRDefault="007F7A7E" w:rsidP="007F7A7E">
            <w:pPr>
              <w:jc w:val="center"/>
              <w:rPr>
                <w:b/>
                <w:bCs/>
              </w:rPr>
            </w:pPr>
            <w:r w:rsidRPr="00970C43">
              <w:rPr>
                <w:b/>
                <w:bCs/>
              </w:rPr>
              <w:t>trong quá trình thực hiện</w:t>
            </w:r>
            <w:r w:rsidRPr="00347861">
              <w:rPr>
                <w:b/>
                <w:bCs/>
              </w:rPr>
              <w:t xml:space="preserve"> (nếu có)</w:t>
            </w:r>
          </w:p>
        </w:tc>
        <w:tc>
          <w:tcPr>
            <w:tcW w:w="3119" w:type="dxa"/>
            <w:vAlign w:val="center"/>
            <w:hideMark/>
          </w:tcPr>
          <w:p w14:paraId="7D237637" w14:textId="2610934F" w:rsidR="007F7A7E" w:rsidRPr="00347861" w:rsidRDefault="007F7A7E" w:rsidP="007F7A7E">
            <w:pPr>
              <w:jc w:val="center"/>
              <w:rPr>
                <w:b/>
                <w:bCs/>
              </w:rPr>
            </w:pPr>
            <w:r w:rsidRPr="00970C43">
              <w:rPr>
                <w:b/>
                <w:bCs/>
              </w:rPr>
              <w:t>Nội dung đề xuất, kiến nghị</w:t>
            </w:r>
          </w:p>
          <w:p w14:paraId="5634F913" w14:textId="61A318C2" w:rsidR="007F7A7E" w:rsidRPr="00970C43" w:rsidRDefault="007F7A7E" w:rsidP="007F7A7E">
            <w:pPr>
              <w:jc w:val="center"/>
              <w:rPr>
                <w:b/>
                <w:bCs/>
              </w:rPr>
            </w:pPr>
            <w:r w:rsidRPr="00970C43">
              <w:rPr>
                <w:b/>
                <w:bCs/>
              </w:rPr>
              <w:t>sửa đổi, bổ sung</w:t>
            </w:r>
            <w:r w:rsidRPr="00347861">
              <w:rPr>
                <w:b/>
                <w:bCs/>
              </w:rPr>
              <w:t>, bãi bỏ theo quy định</w:t>
            </w:r>
          </w:p>
        </w:tc>
        <w:tc>
          <w:tcPr>
            <w:tcW w:w="2551" w:type="dxa"/>
            <w:vAlign w:val="center"/>
            <w:hideMark/>
          </w:tcPr>
          <w:p w14:paraId="67B636B0" w14:textId="64F014D7" w:rsidR="007F7A7E" w:rsidRPr="00347861" w:rsidRDefault="007F7A7E" w:rsidP="007F7A7E">
            <w:pPr>
              <w:jc w:val="center"/>
              <w:rPr>
                <w:b/>
                <w:bCs/>
              </w:rPr>
            </w:pPr>
            <w:r w:rsidRPr="00970C43">
              <w:rPr>
                <w:b/>
                <w:bCs/>
              </w:rPr>
              <w:t>Lý do đề xuất,</w:t>
            </w:r>
          </w:p>
          <w:p w14:paraId="4944227F" w14:textId="7BD9A5AF" w:rsidR="007F7A7E" w:rsidRPr="00970C43" w:rsidRDefault="007F7A7E" w:rsidP="007F7A7E">
            <w:pPr>
              <w:jc w:val="center"/>
              <w:rPr>
                <w:b/>
                <w:bCs/>
              </w:rPr>
            </w:pPr>
            <w:r w:rsidRPr="00970C43">
              <w:rPr>
                <w:b/>
                <w:bCs/>
              </w:rPr>
              <w:t>kiến nghị</w:t>
            </w:r>
          </w:p>
        </w:tc>
        <w:tc>
          <w:tcPr>
            <w:tcW w:w="969" w:type="dxa"/>
          </w:tcPr>
          <w:p w14:paraId="7002A8C6" w14:textId="77777777" w:rsidR="007F7A7E" w:rsidRPr="00347861" w:rsidRDefault="007F7A7E" w:rsidP="007F7A7E">
            <w:pPr>
              <w:jc w:val="center"/>
              <w:rPr>
                <w:b/>
                <w:bCs/>
              </w:rPr>
            </w:pPr>
          </w:p>
          <w:p w14:paraId="6CC6EA1F" w14:textId="77777777" w:rsidR="007F7A7E" w:rsidRPr="00347861" w:rsidRDefault="007F7A7E" w:rsidP="007F7A7E">
            <w:pPr>
              <w:jc w:val="center"/>
              <w:rPr>
                <w:b/>
                <w:bCs/>
              </w:rPr>
            </w:pPr>
          </w:p>
          <w:p w14:paraId="18B99C63" w14:textId="58130580" w:rsidR="007F7A7E" w:rsidRPr="00347861" w:rsidRDefault="007F7A7E" w:rsidP="007F7A7E">
            <w:pPr>
              <w:jc w:val="center"/>
              <w:rPr>
                <w:b/>
                <w:bCs/>
              </w:rPr>
            </w:pPr>
            <w:r w:rsidRPr="00347861">
              <w:rPr>
                <w:b/>
                <w:bCs/>
              </w:rPr>
              <w:t>Ghi chú</w:t>
            </w:r>
          </w:p>
        </w:tc>
      </w:tr>
      <w:tr w:rsidR="00197A07" w:rsidRPr="00970C43" w14:paraId="4F9B3001" w14:textId="77777777" w:rsidTr="00E810CA">
        <w:tc>
          <w:tcPr>
            <w:tcW w:w="635" w:type="dxa"/>
          </w:tcPr>
          <w:p w14:paraId="78F53E43" w14:textId="77777777" w:rsidR="00347861" w:rsidRPr="00347861" w:rsidRDefault="00347861" w:rsidP="00347861">
            <w:pPr>
              <w:spacing w:after="160" w:line="278" w:lineRule="auto"/>
              <w:jc w:val="center"/>
            </w:pPr>
          </w:p>
          <w:p w14:paraId="27D7103E" w14:textId="77777777" w:rsidR="00347861" w:rsidRPr="00347861" w:rsidRDefault="00347861" w:rsidP="00347861">
            <w:pPr>
              <w:spacing w:after="160" w:line="278" w:lineRule="auto"/>
              <w:jc w:val="center"/>
            </w:pPr>
          </w:p>
          <w:p w14:paraId="362A137F" w14:textId="77777777" w:rsidR="00347861" w:rsidRPr="00347861" w:rsidRDefault="00347861" w:rsidP="00347861">
            <w:pPr>
              <w:spacing w:after="160" w:line="278" w:lineRule="auto"/>
              <w:jc w:val="center"/>
            </w:pPr>
          </w:p>
          <w:p w14:paraId="76902CB1" w14:textId="77777777" w:rsidR="00347861" w:rsidRPr="00347861" w:rsidRDefault="00347861" w:rsidP="00347861">
            <w:pPr>
              <w:spacing w:after="160" w:line="278" w:lineRule="auto"/>
              <w:jc w:val="center"/>
            </w:pPr>
          </w:p>
          <w:p w14:paraId="3E498FBC" w14:textId="073AD1D2" w:rsidR="00197A07" w:rsidRPr="00347861" w:rsidRDefault="00347861" w:rsidP="00347861">
            <w:pPr>
              <w:spacing w:after="160" w:line="278" w:lineRule="auto"/>
              <w:jc w:val="center"/>
            </w:pPr>
            <w:r w:rsidRPr="00347861">
              <w:t>1</w:t>
            </w:r>
          </w:p>
        </w:tc>
        <w:tc>
          <w:tcPr>
            <w:tcW w:w="1969" w:type="dxa"/>
            <w:vAlign w:val="center"/>
          </w:tcPr>
          <w:p w14:paraId="271BE941" w14:textId="7DB0F1A4" w:rsidR="00197A07" w:rsidRPr="00347861" w:rsidRDefault="00197A07" w:rsidP="00E14AA9">
            <w:pPr>
              <w:spacing w:after="160" w:line="278" w:lineRule="auto"/>
              <w:jc w:val="center"/>
            </w:pPr>
            <w:r w:rsidRPr="00347861">
              <w:t>Khoản 4, Điều 8</w:t>
            </w:r>
          </w:p>
        </w:tc>
        <w:tc>
          <w:tcPr>
            <w:tcW w:w="5329" w:type="dxa"/>
            <w:vAlign w:val="center"/>
          </w:tcPr>
          <w:p w14:paraId="74D020CD" w14:textId="7A856343" w:rsidR="00197A07" w:rsidRPr="00347861" w:rsidRDefault="00197A07" w:rsidP="00E14AA9">
            <w:pPr>
              <w:spacing w:after="160" w:line="278" w:lineRule="auto"/>
              <w:jc w:val="both"/>
            </w:pPr>
            <w:r w:rsidRPr="00347861">
              <w:t>Theo quy định tại Khoản 4 Điều 8, việc giao Trung tâm Phục vụ hành chính công cấp xã thực hiện nhiệm vụ tham mưu xây dựng chính quyền điện tử và theo dõi ứng dụng công nghệ thông tin tại cấp xã, trong quá trình triển khai thực hiện, tại một số địa phương còn gặp khó khăn trong việc bố trí nguồn lực phù hợp. Trung tâm chủ yếu thực hiện nhiệm vụ hướng dẫn, tiếp nhận và trả kết quả TTHC</w:t>
            </w:r>
            <w:r w:rsidR="00347861">
              <w:t>; theo dõi, kiểm tra, giám sát việc giải quyết TTHC;</w:t>
            </w:r>
            <w:r w:rsidRPr="00347861">
              <w:t xml:space="preserve"> kiểm soát TTHC. Do đó</w:t>
            </w:r>
            <w:r w:rsidR="00287C96" w:rsidRPr="00347861">
              <w:t>,</w:t>
            </w:r>
            <w:r w:rsidRPr="00347861">
              <w:t xml:space="preserve"> khi đồng thời thực hiện thêm nhiệm vụ liên quan đến công nghệ thông tin có thể phát sinh áp lực về nhân sự, thời gian và cần sự phối hợp chặt chẽ hơn với các bộ phận chuyên môn liên quan.</w:t>
            </w:r>
          </w:p>
        </w:tc>
        <w:tc>
          <w:tcPr>
            <w:tcW w:w="3119" w:type="dxa"/>
            <w:vAlign w:val="center"/>
          </w:tcPr>
          <w:p w14:paraId="6F874F88" w14:textId="55B59562" w:rsidR="00197A07" w:rsidRPr="004A262D" w:rsidRDefault="00287C96" w:rsidP="00E14AA9">
            <w:pPr>
              <w:spacing w:after="160" w:line="278" w:lineRule="auto"/>
              <w:jc w:val="both"/>
              <w:rPr>
                <w:color w:val="EE0000"/>
              </w:rPr>
            </w:pPr>
            <w:r w:rsidRPr="00347861">
              <w:t xml:space="preserve">Kiến nghị sửa đổi quy định theo hướng: </w:t>
            </w:r>
            <w:r w:rsidR="00CB2114" w:rsidRPr="00CB2114">
              <w:t>Nghiên cứu rà soát, điều chỉnh phân công nhiệm vụ</w:t>
            </w:r>
            <w:r w:rsidRPr="00347861">
              <w:t xml:space="preserve"> tham mưu xây dựng chính quyền điện tử và theo dõi ứng dụng CNTT về đơn vị quản lý nhà nước chuyên môn hơn ở cấp xã. Trung tâm </w:t>
            </w:r>
            <w:r w:rsidR="00347861">
              <w:t xml:space="preserve">sẽ </w:t>
            </w:r>
            <w:r w:rsidRPr="00347861">
              <w:t xml:space="preserve">đóng vai trò phối hợp triển khai, vận hành các ứng dụng phục vụ trực tiếp cho khâu </w:t>
            </w:r>
            <w:r w:rsidR="00347861">
              <w:t xml:space="preserve">hướng dẫn, </w:t>
            </w:r>
            <w:r w:rsidRPr="00347861">
              <w:t>tiếp nhận</w:t>
            </w:r>
            <w:r w:rsidR="00347861">
              <w:t xml:space="preserve">, theo dõi, giám sát </w:t>
            </w:r>
            <w:r w:rsidRPr="00347861">
              <w:t xml:space="preserve">và trả kết quả </w:t>
            </w:r>
            <w:r w:rsidR="00347861">
              <w:t xml:space="preserve">giải quyết </w:t>
            </w:r>
            <w:r w:rsidRPr="00347861">
              <w:t>TTHC, kiểm soát TTHC.</w:t>
            </w:r>
          </w:p>
        </w:tc>
        <w:tc>
          <w:tcPr>
            <w:tcW w:w="2551" w:type="dxa"/>
            <w:vAlign w:val="center"/>
          </w:tcPr>
          <w:p w14:paraId="35030660" w14:textId="0832235A" w:rsidR="00197A07" w:rsidRPr="004A262D" w:rsidRDefault="00287C96" w:rsidP="00E14AA9">
            <w:pPr>
              <w:spacing w:after="160" w:line="278" w:lineRule="auto"/>
              <w:jc w:val="both"/>
              <w:rPr>
                <w:color w:val="EE0000"/>
              </w:rPr>
            </w:pPr>
            <w:r w:rsidRPr="00347861">
              <w:t>Tách bạch rõ chức năng phục vụ hành chính công, kiểm soát TTHC và chức năng tham mưu, quản trị hệ thống lõi; giúp tối ưu hóa nguồn lực, bảo đảm tính chuyên nghiệp và chất lượng tham mưu về chính quyền điện tử tại địa phương.</w:t>
            </w:r>
          </w:p>
        </w:tc>
        <w:tc>
          <w:tcPr>
            <w:tcW w:w="969" w:type="dxa"/>
          </w:tcPr>
          <w:p w14:paraId="50184EFD" w14:textId="77777777" w:rsidR="00197A07" w:rsidRPr="00970C43" w:rsidRDefault="00197A07" w:rsidP="00E14AA9">
            <w:pPr>
              <w:spacing w:after="160" w:line="278" w:lineRule="auto"/>
            </w:pPr>
          </w:p>
        </w:tc>
      </w:tr>
      <w:tr w:rsidR="004367DA" w:rsidRPr="00970C43" w14:paraId="154A99AF" w14:textId="77777777" w:rsidTr="00E810CA">
        <w:tc>
          <w:tcPr>
            <w:tcW w:w="635" w:type="dxa"/>
          </w:tcPr>
          <w:p w14:paraId="78BF6E42" w14:textId="00AF1B12" w:rsidR="004367DA" w:rsidRPr="00E40120" w:rsidRDefault="00942F58" w:rsidP="00347861">
            <w:pPr>
              <w:spacing w:after="160" w:line="278" w:lineRule="auto"/>
              <w:jc w:val="center"/>
            </w:pPr>
            <w:r w:rsidRPr="00E40120">
              <w:t>2</w:t>
            </w:r>
          </w:p>
        </w:tc>
        <w:tc>
          <w:tcPr>
            <w:tcW w:w="1969" w:type="dxa"/>
            <w:vAlign w:val="center"/>
          </w:tcPr>
          <w:p w14:paraId="62F5DD19" w14:textId="4E30D3FE" w:rsidR="004367DA" w:rsidRPr="00E40120" w:rsidRDefault="004367DA" w:rsidP="00347861">
            <w:pPr>
              <w:spacing w:line="278" w:lineRule="auto"/>
              <w:jc w:val="center"/>
            </w:pPr>
            <w:r w:rsidRPr="00E40120">
              <w:t>Điểm c, Khoản 2, Điều 10</w:t>
            </w:r>
          </w:p>
        </w:tc>
        <w:tc>
          <w:tcPr>
            <w:tcW w:w="5329" w:type="dxa"/>
            <w:vAlign w:val="center"/>
          </w:tcPr>
          <w:p w14:paraId="0D30037E" w14:textId="13529371" w:rsidR="004367DA" w:rsidRPr="00E40120" w:rsidRDefault="004367DA" w:rsidP="00E14AA9">
            <w:pPr>
              <w:spacing w:after="160" w:line="278" w:lineRule="auto"/>
              <w:jc w:val="both"/>
            </w:pPr>
            <w:r w:rsidRPr="00E40120">
              <w:t>Theo Điểm c, Khoản 2, Điều 10, quy định</w:t>
            </w:r>
            <w:r w:rsidR="00AA1A31" w:rsidRPr="00E40120">
              <w:t xml:space="preserve"> </w:t>
            </w:r>
            <w:r w:rsidR="00AA1A31" w:rsidRPr="00E40120">
              <w:rPr>
                <w:i/>
                <w:iCs/>
              </w:rPr>
              <w:t xml:space="preserve">“Trung tâm Phục vụ hành chính công... có công chức, viên </w:t>
            </w:r>
            <w:r w:rsidR="00AA1A31" w:rsidRPr="00E40120">
              <w:rPr>
                <w:i/>
                <w:iCs/>
              </w:rPr>
              <w:lastRenderedPageBreak/>
              <w:t>chức, nhân viên thuộc quản lý của Trung tâm để thực hiện nhiệm vụ;…”.</w:t>
            </w:r>
            <w:r w:rsidR="00AA1A31" w:rsidRPr="00E40120">
              <w:t xml:space="preserve"> Tuy nhiên, quy định này chưa làm rõ nguồn </w:t>
            </w:r>
            <w:r w:rsidR="000A015C" w:rsidRPr="00E40120">
              <w:t>“</w:t>
            </w:r>
            <w:r w:rsidR="00AA1A31" w:rsidRPr="00E40120">
              <w:t>biên chế</w:t>
            </w:r>
            <w:r w:rsidR="000A015C" w:rsidRPr="00E40120">
              <w:t>”</w:t>
            </w:r>
            <w:r w:rsidR="00AA1A31" w:rsidRPr="00E40120">
              <w:t xml:space="preserve"> của các nhân sự này, có thể dẫn đến thiếu cơ sở pháp lý vững chắc để giao chỉ tiêu biên chế độc lập cho Trung tâm, cũng như trong công tác tuyển dụng, điều động, bổ nhiệm và bố trí đội ngũ nhân sự chuyên trách.</w:t>
            </w:r>
          </w:p>
        </w:tc>
        <w:tc>
          <w:tcPr>
            <w:tcW w:w="3119" w:type="dxa"/>
            <w:vAlign w:val="center"/>
          </w:tcPr>
          <w:p w14:paraId="0602B279" w14:textId="7E845313" w:rsidR="004367DA" w:rsidRPr="00E40120" w:rsidRDefault="000A015C" w:rsidP="00E14AA9">
            <w:pPr>
              <w:spacing w:after="160" w:line="278" w:lineRule="auto"/>
              <w:jc w:val="both"/>
            </w:pPr>
            <w:r w:rsidRPr="00E40120">
              <w:lastRenderedPageBreak/>
              <w:t xml:space="preserve">Kiến nghị sửa đổi, bổ sung: </w:t>
            </w:r>
            <w:r w:rsidR="00EE05CF" w:rsidRPr="00E40120">
              <w:rPr>
                <w:i/>
                <w:iCs/>
              </w:rPr>
              <w:t>“</w:t>
            </w:r>
            <w:r w:rsidRPr="00E40120">
              <w:rPr>
                <w:i/>
                <w:iCs/>
              </w:rPr>
              <w:t xml:space="preserve">Trung tâm Phục vụ hành </w:t>
            </w:r>
            <w:r w:rsidRPr="00E40120">
              <w:rPr>
                <w:i/>
                <w:iCs/>
              </w:rPr>
              <w:lastRenderedPageBreak/>
              <w:t>chính công cấp tỉnh, Trung tâm Phục vụ hành chính công một cấp có biên chế công chức, viên chức và người lao động thuộc sự quản lý trực tiếp của Trung tâm để thực hiện nhiệm vụ</w:t>
            </w:r>
            <w:r w:rsidR="00EE05CF" w:rsidRPr="00E40120">
              <w:rPr>
                <w:i/>
                <w:iCs/>
              </w:rPr>
              <w:t>;…”</w:t>
            </w:r>
          </w:p>
        </w:tc>
        <w:tc>
          <w:tcPr>
            <w:tcW w:w="2551" w:type="dxa"/>
            <w:vAlign w:val="center"/>
          </w:tcPr>
          <w:p w14:paraId="30857A30" w14:textId="5C323D03" w:rsidR="004367DA" w:rsidRPr="00E40120" w:rsidRDefault="00EE05CF" w:rsidP="00E14AA9">
            <w:pPr>
              <w:spacing w:after="160" w:line="278" w:lineRule="auto"/>
              <w:jc w:val="both"/>
            </w:pPr>
            <w:r w:rsidRPr="00E40120">
              <w:lastRenderedPageBreak/>
              <w:t xml:space="preserve">Tạo cơ sở pháp lý vững chắc để cấp có thẩm </w:t>
            </w:r>
            <w:r w:rsidRPr="00E40120">
              <w:lastRenderedPageBreak/>
              <w:t>quyền giao chỉ tiêu biên chế độc lập; giúp Trung tâm chủ động quản lý, ổn định đội ngũ nhân sự, khắc phục triệt để tình trạng phụ thuộc vào cán bộ biệt phái để nâng cao tính chuyên nghiệp trong thực thi nhiệm vụ.</w:t>
            </w:r>
          </w:p>
        </w:tc>
        <w:tc>
          <w:tcPr>
            <w:tcW w:w="969" w:type="dxa"/>
          </w:tcPr>
          <w:p w14:paraId="0BAD600D" w14:textId="77777777" w:rsidR="004367DA" w:rsidRPr="00E40120" w:rsidRDefault="004367DA" w:rsidP="00E14AA9">
            <w:pPr>
              <w:spacing w:after="160" w:line="278" w:lineRule="auto"/>
            </w:pPr>
          </w:p>
        </w:tc>
      </w:tr>
      <w:tr w:rsidR="00E14AA9" w:rsidRPr="00970C43" w14:paraId="202C33F9" w14:textId="77777777" w:rsidTr="00E810CA">
        <w:tc>
          <w:tcPr>
            <w:tcW w:w="635" w:type="dxa"/>
          </w:tcPr>
          <w:p w14:paraId="43D0F32B" w14:textId="77777777" w:rsidR="00347861" w:rsidRDefault="00347861" w:rsidP="00347861">
            <w:pPr>
              <w:spacing w:after="160" w:line="278" w:lineRule="auto"/>
              <w:jc w:val="center"/>
            </w:pPr>
          </w:p>
          <w:p w14:paraId="78173747" w14:textId="58AE32B1" w:rsidR="00E14AA9" w:rsidRPr="00347861" w:rsidRDefault="00E14AA9" w:rsidP="00347861">
            <w:pPr>
              <w:spacing w:after="160" w:line="278" w:lineRule="auto"/>
              <w:jc w:val="center"/>
            </w:pPr>
          </w:p>
          <w:p w14:paraId="4DC6C7E0" w14:textId="77777777" w:rsidR="004A262D" w:rsidRPr="00347861" w:rsidRDefault="004A262D" w:rsidP="00E14AA9">
            <w:pPr>
              <w:spacing w:after="160" w:line="278" w:lineRule="auto"/>
              <w:jc w:val="center"/>
            </w:pPr>
          </w:p>
          <w:p w14:paraId="2A9784BB" w14:textId="77777777" w:rsidR="004A262D" w:rsidRPr="00347861" w:rsidRDefault="004A262D" w:rsidP="00E14AA9">
            <w:pPr>
              <w:spacing w:after="160" w:line="278" w:lineRule="auto"/>
              <w:jc w:val="center"/>
            </w:pPr>
          </w:p>
          <w:p w14:paraId="414221A2" w14:textId="279E3201" w:rsidR="00E14AA9" w:rsidRPr="00347861" w:rsidRDefault="00F20227" w:rsidP="00E14AA9">
            <w:pPr>
              <w:spacing w:after="160" w:line="278" w:lineRule="auto"/>
              <w:jc w:val="center"/>
            </w:pPr>
            <w:r>
              <w:t>3</w:t>
            </w:r>
          </w:p>
        </w:tc>
        <w:tc>
          <w:tcPr>
            <w:tcW w:w="1969" w:type="dxa"/>
            <w:vAlign w:val="center"/>
          </w:tcPr>
          <w:p w14:paraId="2111159A" w14:textId="2BF851BA" w:rsidR="00E14AA9" w:rsidRPr="00347861" w:rsidRDefault="00E14AA9" w:rsidP="00347861">
            <w:pPr>
              <w:spacing w:line="278" w:lineRule="auto"/>
              <w:jc w:val="center"/>
            </w:pPr>
            <w:r w:rsidRPr="00970C43">
              <w:t xml:space="preserve">Điểm e </w:t>
            </w:r>
            <w:r w:rsidR="00347861">
              <w:t>K</w:t>
            </w:r>
            <w:r w:rsidRPr="00970C43">
              <w:t>hoản 1 Điều 11</w:t>
            </w:r>
          </w:p>
        </w:tc>
        <w:tc>
          <w:tcPr>
            <w:tcW w:w="5329" w:type="dxa"/>
            <w:vAlign w:val="center"/>
          </w:tcPr>
          <w:p w14:paraId="27766EF1" w14:textId="684B723A" w:rsidR="00E14AA9" w:rsidRPr="004C1872" w:rsidRDefault="00E14AA9" w:rsidP="00E14AA9">
            <w:pPr>
              <w:spacing w:after="160" w:line="278" w:lineRule="auto"/>
              <w:jc w:val="both"/>
              <w:rPr>
                <w:color w:val="EE0000"/>
              </w:rPr>
            </w:pPr>
            <w:r w:rsidRPr="00597E8A">
              <w:t xml:space="preserve">Theo </w:t>
            </w:r>
            <w:r w:rsidRPr="00970C43">
              <w:t>Điểm e khoản 1 Điều 11</w:t>
            </w:r>
            <w:r w:rsidRPr="00597E8A">
              <w:t>,</w:t>
            </w:r>
            <w:r w:rsidR="004702C3" w:rsidRPr="00597E8A">
              <w:t xml:space="preserve"> quy định mặc đồng phục hoặc trang phục ngành theo quy định, đeo Thẻ công chức, viên chức, nhân viên trong quá trình thực thi nhiệm vụ</w:t>
            </w:r>
            <w:r w:rsidRPr="00970C43">
              <w:t>.</w:t>
            </w:r>
            <w:r w:rsidR="004A262D" w:rsidRPr="00597E8A">
              <w:t xml:space="preserve"> Tuy nhiên, hiện nay chưa có văn bản hướng dẫn cụ thể về nguồn kinh phí, định mức và tiêu chuẩn trang bị.</w:t>
            </w:r>
          </w:p>
        </w:tc>
        <w:tc>
          <w:tcPr>
            <w:tcW w:w="3119" w:type="dxa"/>
            <w:vAlign w:val="center"/>
          </w:tcPr>
          <w:p w14:paraId="058ADDA9" w14:textId="11BFB941" w:rsidR="00E14AA9" w:rsidRDefault="004A262D" w:rsidP="00E14AA9">
            <w:pPr>
              <w:spacing w:after="160" w:line="278" w:lineRule="auto"/>
              <w:jc w:val="both"/>
              <w:rPr>
                <w:color w:val="EE0000"/>
              </w:rPr>
            </w:pPr>
            <w:r w:rsidRPr="00597E8A">
              <w:t>Kiến nghị ban hành văn bản quy định hoặc hướng dẫn cụ thể về cơ chế tài chính; trong đó</w:t>
            </w:r>
            <w:r w:rsidR="00597E8A">
              <w:t xml:space="preserve"> quy định rõ</w:t>
            </w:r>
            <w:r w:rsidRPr="00597E8A">
              <w:t xml:space="preserve"> nguồn kinh phí và định mức chi trang bị đồng phục cho cán bộ, công chức, viên chức tại Bộ phận Một cửa các cấp</w:t>
            </w:r>
            <w:r w:rsidR="00E14AA9" w:rsidRPr="00970C43">
              <w:t>.</w:t>
            </w:r>
          </w:p>
        </w:tc>
        <w:tc>
          <w:tcPr>
            <w:tcW w:w="2551" w:type="dxa"/>
            <w:vAlign w:val="center"/>
          </w:tcPr>
          <w:p w14:paraId="3B664229" w14:textId="1EA292ED" w:rsidR="00E14AA9" w:rsidRPr="00970C43" w:rsidRDefault="004A262D" w:rsidP="00E14AA9">
            <w:pPr>
              <w:spacing w:after="160" w:line="278" w:lineRule="auto"/>
              <w:jc w:val="both"/>
              <w:rPr>
                <w:color w:val="EE0000"/>
              </w:rPr>
            </w:pPr>
            <w:r w:rsidRPr="00597E8A">
              <w:t>Tạo cơ sở pháp lý đầy đủ, cụ thể để các địa phương thống nhất bố trí kinh phí theo đúng quy định của pháp luật về Ngân sách nhà nước. Đồng thời, góp phần xây dựng hình ảnh đội ngũ cán bộ, công chức, viên chức chính quy, chuyên nghiệp, hiện đại.</w:t>
            </w:r>
          </w:p>
        </w:tc>
        <w:tc>
          <w:tcPr>
            <w:tcW w:w="969" w:type="dxa"/>
          </w:tcPr>
          <w:p w14:paraId="5D04E759" w14:textId="77777777" w:rsidR="00E14AA9" w:rsidRPr="00970C43" w:rsidRDefault="00E14AA9" w:rsidP="00E14AA9">
            <w:pPr>
              <w:spacing w:after="160" w:line="278" w:lineRule="auto"/>
            </w:pPr>
          </w:p>
        </w:tc>
      </w:tr>
      <w:tr w:rsidR="00E14AA9" w:rsidRPr="00970C43" w14:paraId="3AE985D9" w14:textId="5C4EA502" w:rsidTr="00E810CA">
        <w:tc>
          <w:tcPr>
            <w:tcW w:w="635" w:type="dxa"/>
          </w:tcPr>
          <w:p w14:paraId="5C80F781" w14:textId="77777777" w:rsidR="00E14AA9" w:rsidRPr="00F20227" w:rsidRDefault="00E14AA9" w:rsidP="00E14AA9">
            <w:pPr>
              <w:spacing w:after="160" w:line="278" w:lineRule="auto"/>
              <w:jc w:val="center"/>
            </w:pPr>
          </w:p>
          <w:p w14:paraId="5453B8AD" w14:textId="0EB6980B" w:rsidR="00E14AA9" w:rsidRPr="00F20227" w:rsidRDefault="00F20227" w:rsidP="00F20227">
            <w:pPr>
              <w:spacing w:before="1200" w:after="160" w:line="278" w:lineRule="auto"/>
              <w:jc w:val="center"/>
            </w:pPr>
            <w:r w:rsidRPr="00F20227">
              <w:t>4</w:t>
            </w:r>
          </w:p>
        </w:tc>
        <w:tc>
          <w:tcPr>
            <w:tcW w:w="1969" w:type="dxa"/>
            <w:vAlign w:val="center"/>
            <w:hideMark/>
          </w:tcPr>
          <w:p w14:paraId="6B304D17" w14:textId="27F41C07" w:rsidR="00E14AA9" w:rsidRPr="00970C43" w:rsidRDefault="00F20227" w:rsidP="00F20227">
            <w:pPr>
              <w:spacing w:after="160" w:line="278" w:lineRule="auto"/>
            </w:pPr>
            <w:r w:rsidRPr="00F20227">
              <w:t>Đ</w:t>
            </w:r>
            <w:r w:rsidR="00E14AA9" w:rsidRPr="00970C43">
              <w:t xml:space="preserve">iểm a </w:t>
            </w:r>
            <w:r w:rsidR="00E14AA9" w:rsidRPr="00F20227">
              <w:t>K</w:t>
            </w:r>
            <w:r w:rsidR="00E14AA9" w:rsidRPr="00970C43">
              <w:t>hoản 1 Điều 17</w:t>
            </w:r>
          </w:p>
        </w:tc>
        <w:tc>
          <w:tcPr>
            <w:tcW w:w="5329" w:type="dxa"/>
            <w:vAlign w:val="center"/>
            <w:hideMark/>
          </w:tcPr>
          <w:p w14:paraId="370A651D" w14:textId="5B7E1510" w:rsidR="00E14AA9" w:rsidRPr="00970C43" w:rsidRDefault="00E14AA9" w:rsidP="00E14AA9">
            <w:pPr>
              <w:spacing w:after="160" w:line="278" w:lineRule="auto"/>
              <w:jc w:val="both"/>
            </w:pPr>
            <w:r w:rsidRPr="00F20227">
              <w:t>Theo Điểm a Khoản 1 Điều 17 Nghị định số 118/2025/NĐ-CP quy định: “Trường hợp ủy quyền thực hiện TTHC, tài khoản định danh điện tử được tạo lập là tài khoản định danh điện tử của tổ chức, cá nhân ủy quyền”. Tuy nhiên, quy định này hiện chưa thật sự cụ thể, rõ ràng trong quá trình tổ chức thực hiện trên môi trường điện tử, nên địa phương còn lúng túng trong một số trường hợp phát sinh thực tế.</w:t>
            </w:r>
          </w:p>
        </w:tc>
        <w:tc>
          <w:tcPr>
            <w:tcW w:w="3119" w:type="dxa"/>
            <w:vAlign w:val="center"/>
            <w:hideMark/>
          </w:tcPr>
          <w:p w14:paraId="24D5E9D2" w14:textId="64653EC1" w:rsidR="00E14AA9" w:rsidRPr="00970C43" w:rsidRDefault="00E14AA9" w:rsidP="00E14AA9">
            <w:pPr>
              <w:spacing w:after="160" w:line="278" w:lineRule="auto"/>
              <w:jc w:val="both"/>
            </w:pPr>
            <w:r w:rsidRPr="00F20227">
              <w:t>Kiến nghị</w:t>
            </w:r>
            <w:r w:rsidR="00146329">
              <w:t xml:space="preserve"> quy định, hướng dẫn cụ thể </w:t>
            </w:r>
            <w:r w:rsidRPr="00F20227">
              <w:t>cơ chế thực hiện TTHC theo hình thức ủy quyền trên môi trường điện tử, bảo đảm người được ủy quyền có thể thao tác nộp hồ sơ thuận tiện trên cơ sở thông tin ủy quyền hợp pháp, được xác thực, đồng thời bảo đảm an toàn, xác thực và trách nhiệm pháp lý của các bên.</w:t>
            </w:r>
          </w:p>
        </w:tc>
        <w:tc>
          <w:tcPr>
            <w:tcW w:w="2551" w:type="dxa"/>
            <w:vAlign w:val="center"/>
            <w:hideMark/>
          </w:tcPr>
          <w:p w14:paraId="3D77E06D" w14:textId="77777777" w:rsidR="00E14AA9" w:rsidRPr="00970C43" w:rsidRDefault="00E14AA9" w:rsidP="00E14AA9">
            <w:pPr>
              <w:spacing w:after="160" w:line="278" w:lineRule="auto"/>
              <w:jc w:val="both"/>
            </w:pPr>
            <w:r w:rsidRPr="00970C43">
              <w:t>Phù hợp thực tiễn giao dịch điện tử, tạo thuận lợi cho tổ chức, cá nhân khi thực hiện ủy quyền hợp pháp.</w:t>
            </w:r>
          </w:p>
        </w:tc>
        <w:tc>
          <w:tcPr>
            <w:tcW w:w="969" w:type="dxa"/>
          </w:tcPr>
          <w:p w14:paraId="501D1E4F" w14:textId="77777777" w:rsidR="00E14AA9" w:rsidRPr="00970C43" w:rsidRDefault="00E14AA9" w:rsidP="00E14AA9">
            <w:pPr>
              <w:spacing w:after="160" w:line="278" w:lineRule="auto"/>
            </w:pPr>
          </w:p>
        </w:tc>
      </w:tr>
      <w:tr w:rsidR="00E14AA9" w:rsidRPr="00970C43" w14:paraId="27EA8BAB" w14:textId="08209BB6" w:rsidTr="00E810CA">
        <w:tc>
          <w:tcPr>
            <w:tcW w:w="635" w:type="dxa"/>
          </w:tcPr>
          <w:p w14:paraId="56A944EF" w14:textId="4905E0D1" w:rsidR="00E14AA9" w:rsidRPr="00F20227" w:rsidRDefault="00E14AA9" w:rsidP="00F20227">
            <w:pPr>
              <w:spacing w:after="160" w:line="278" w:lineRule="auto"/>
              <w:jc w:val="center"/>
            </w:pPr>
          </w:p>
          <w:p w14:paraId="5E79B4C3" w14:textId="77777777" w:rsidR="004A262D" w:rsidRPr="00F20227" w:rsidRDefault="004A262D" w:rsidP="00E14AA9">
            <w:pPr>
              <w:spacing w:before="360" w:after="160" w:line="278" w:lineRule="auto"/>
              <w:jc w:val="center"/>
            </w:pPr>
          </w:p>
          <w:p w14:paraId="08879CD8" w14:textId="552474DF" w:rsidR="00E14AA9" w:rsidRPr="00F20227" w:rsidRDefault="00E40120" w:rsidP="00E14AA9">
            <w:pPr>
              <w:spacing w:before="360" w:after="160" w:line="278" w:lineRule="auto"/>
              <w:jc w:val="center"/>
            </w:pPr>
            <w:r>
              <w:t>5</w:t>
            </w:r>
          </w:p>
        </w:tc>
        <w:tc>
          <w:tcPr>
            <w:tcW w:w="1969" w:type="dxa"/>
            <w:vAlign w:val="center"/>
            <w:hideMark/>
          </w:tcPr>
          <w:p w14:paraId="2BC09DEA" w14:textId="2AE0AE33" w:rsidR="00E14AA9" w:rsidRPr="00970C43" w:rsidRDefault="00E14AA9" w:rsidP="00E14AA9">
            <w:pPr>
              <w:spacing w:after="160" w:line="278" w:lineRule="auto"/>
            </w:pPr>
            <w:r w:rsidRPr="00970C43">
              <w:t>Khoản 2 Điều 18</w:t>
            </w:r>
          </w:p>
        </w:tc>
        <w:tc>
          <w:tcPr>
            <w:tcW w:w="5329" w:type="dxa"/>
            <w:vAlign w:val="center"/>
            <w:hideMark/>
          </w:tcPr>
          <w:p w14:paraId="1776E9CF" w14:textId="7C8FB591" w:rsidR="00E14AA9" w:rsidRPr="00970C43" w:rsidRDefault="00E14AA9" w:rsidP="00E14AA9">
            <w:pPr>
              <w:spacing w:after="160" w:line="278" w:lineRule="auto"/>
              <w:jc w:val="both"/>
            </w:pPr>
            <w:r w:rsidRPr="00F20227">
              <w:t>Theo quy định tại Khoản 2 Điều 18, hồ sơ tiếp nhận trực tiếp phải được chuyển ngay trong ngày làm việc, hoặc chuyển vào đầu giờ ngày làm việc tiếp theo nếu tiếp nhận sau 15 giờ. Tuy nhiên, thực tiễn cho thấy, việc bảo đảm thời gian chuyển hồ sơ theo đúng khung giờ này là rất khó khả thi tại các thời điểm phát sinh lượng hồ sơ nhiều đột biến, hoặc khi Hệ thống thông tin giải quyết TTHC</w:t>
            </w:r>
            <w:r w:rsidR="00146329">
              <w:t xml:space="preserve"> có lỗi kỹ thuật</w:t>
            </w:r>
            <w:r w:rsidRPr="00F20227">
              <w:t>, mất kết nối liên thông.</w:t>
            </w:r>
          </w:p>
        </w:tc>
        <w:tc>
          <w:tcPr>
            <w:tcW w:w="3119" w:type="dxa"/>
            <w:vAlign w:val="center"/>
            <w:hideMark/>
          </w:tcPr>
          <w:p w14:paraId="47F46ED5" w14:textId="44CBCA42" w:rsidR="00E14AA9" w:rsidRPr="00970C43" w:rsidRDefault="00146329" w:rsidP="00E14AA9">
            <w:pPr>
              <w:spacing w:after="160" w:line="278" w:lineRule="auto"/>
              <w:jc w:val="both"/>
            </w:pPr>
            <w:r>
              <w:t>Kiến nghị</w:t>
            </w:r>
            <w:r w:rsidR="00E14AA9" w:rsidRPr="00970C43">
              <w:t xml:space="preserve"> điều chỉnh theo hướng linh hoạt hơn về thời gian chuyển hồ sơ</w:t>
            </w:r>
            <w:r w:rsidR="00E14AA9" w:rsidRPr="00F20227">
              <w:t>, cụ thể là</w:t>
            </w:r>
            <w:r w:rsidR="00E14AA9" w:rsidRPr="00970C43">
              <w:t xml:space="preserve"> có quy định ngoại lệ trong</w:t>
            </w:r>
            <w:r w:rsidR="00E14AA9" w:rsidRPr="00F20227">
              <w:t xml:space="preserve"> t</w:t>
            </w:r>
            <w:r w:rsidR="00E14AA9" w:rsidRPr="00970C43">
              <w:t>rường hợp hệ thống kỹ thuật gặp sự cố</w:t>
            </w:r>
            <w:r w:rsidR="00E14AA9" w:rsidRPr="00F20227">
              <w:t xml:space="preserve"> hoặc </w:t>
            </w:r>
            <w:r w:rsidR="00E14AA9" w:rsidRPr="00970C43">
              <w:t>thời điểm hồ sơ phát sinh nhiều</w:t>
            </w:r>
            <w:r w:rsidR="00E14AA9" w:rsidRPr="00F20227">
              <w:t xml:space="preserve"> đột biến.</w:t>
            </w:r>
          </w:p>
        </w:tc>
        <w:tc>
          <w:tcPr>
            <w:tcW w:w="2551" w:type="dxa"/>
            <w:vAlign w:val="center"/>
            <w:hideMark/>
          </w:tcPr>
          <w:p w14:paraId="074CC9E8" w14:textId="27516A54" w:rsidR="00E14AA9" w:rsidRPr="00970C43" w:rsidRDefault="00E14AA9" w:rsidP="00E14AA9">
            <w:pPr>
              <w:spacing w:after="160" w:line="278" w:lineRule="auto"/>
              <w:jc w:val="both"/>
            </w:pPr>
            <w:r w:rsidRPr="00970C43">
              <w:t>Bảo đảm tính khả thi trong tổ chức thực hiện</w:t>
            </w:r>
            <w:r w:rsidRPr="00F20227">
              <w:t xml:space="preserve"> vào </w:t>
            </w:r>
            <w:r w:rsidRPr="00970C43">
              <w:t>thời điểm hồ sơ phát sinh nhiều</w:t>
            </w:r>
            <w:r w:rsidRPr="00F20227">
              <w:t xml:space="preserve"> đột biến hoặc lỗi khách quan do hạ tầng kỹ thuật.</w:t>
            </w:r>
          </w:p>
        </w:tc>
        <w:tc>
          <w:tcPr>
            <w:tcW w:w="969" w:type="dxa"/>
          </w:tcPr>
          <w:p w14:paraId="660254E1" w14:textId="77777777" w:rsidR="00E14AA9" w:rsidRPr="00970C43" w:rsidRDefault="00E14AA9" w:rsidP="00E14AA9">
            <w:pPr>
              <w:spacing w:after="160" w:line="278" w:lineRule="auto"/>
            </w:pPr>
          </w:p>
        </w:tc>
      </w:tr>
      <w:tr w:rsidR="00E14AA9" w:rsidRPr="00970C43" w14:paraId="5A69EEFD" w14:textId="027F2BAF" w:rsidTr="00E810CA">
        <w:tc>
          <w:tcPr>
            <w:tcW w:w="635" w:type="dxa"/>
          </w:tcPr>
          <w:p w14:paraId="6E97DC3E" w14:textId="77777777" w:rsidR="00E14AA9" w:rsidRPr="00146329" w:rsidRDefault="00E14AA9" w:rsidP="00E14AA9">
            <w:pPr>
              <w:spacing w:after="160" w:line="278" w:lineRule="auto"/>
            </w:pPr>
          </w:p>
          <w:p w14:paraId="5624E37E" w14:textId="77777777" w:rsidR="00E14AA9" w:rsidRPr="00146329" w:rsidRDefault="00E14AA9" w:rsidP="00E14AA9">
            <w:pPr>
              <w:spacing w:after="160" w:line="278" w:lineRule="auto"/>
            </w:pPr>
          </w:p>
          <w:p w14:paraId="1472F78B" w14:textId="77777777" w:rsidR="00146329" w:rsidRPr="00146329" w:rsidRDefault="00146329" w:rsidP="00E14AA9">
            <w:pPr>
              <w:spacing w:after="160" w:line="278" w:lineRule="auto"/>
              <w:jc w:val="center"/>
            </w:pPr>
          </w:p>
          <w:p w14:paraId="28FA9144" w14:textId="77777777" w:rsidR="00146329" w:rsidRPr="00146329" w:rsidRDefault="00146329" w:rsidP="00E14AA9">
            <w:pPr>
              <w:spacing w:after="160" w:line="278" w:lineRule="auto"/>
              <w:jc w:val="center"/>
            </w:pPr>
          </w:p>
          <w:p w14:paraId="5E4EAF02" w14:textId="2AB0154E" w:rsidR="00E14AA9" w:rsidRPr="00146329" w:rsidRDefault="00E40120" w:rsidP="00146329">
            <w:pPr>
              <w:spacing w:before="360" w:after="160" w:line="278" w:lineRule="auto"/>
              <w:jc w:val="center"/>
            </w:pPr>
            <w:r>
              <w:t>6</w:t>
            </w:r>
          </w:p>
        </w:tc>
        <w:tc>
          <w:tcPr>
            <w:tcW w:w="1969" w:type="dxa"/>
            <w:vAlign w:val="center"/>
            <w:hideMark/>
          </w:tcPr>
          <w:p w14:paraId="6BFCF669" w14:textId="5598B46D" w:rsidR="00E14AA9" w:rsidRPr="00970C43" w:rsidRDefault="00E14AA9" w:rsidP="00E14AA9">
            <w:pPr>
              <w:spacing w:after="160" w:line="278" w:lineRule="auto"/>
            </w:pPr>
            <w:r w:rsidRPr="00970C43">
              <w:t>Khoản 6 Điều 19</w:t>
            </w:r>
          </w:p>
        </w:tc>
        <w:tc>
          <w:tcPr>
            <w:tcW w:w="5329" w:type="dxa"/>
            <w:vAlign w:val="center"/>
            <w:hideMark/>
          </w:tcPr>
          <w:p w14:paraId="62860B6F" w14:textId="0834E581" w:rsidR="00E14AA9" w:rsidRPr="00970C43" w:rsidRDefault="00E14AA9" w:rsidP="00E14AA9">
            <w:pPr>
              <w:spacing w:after="160" w:line="278" w:lineRule="auto"/>
              <w:jc w:val="both"/>
              <w:rPr>
                <w:spacing w:val="-4"/>
              </w:rPr>
            </w:pPr>
            <w:r w:rsidRPr="00137A24">
              <w:rPr>
                <w:spacing w:val="-4"/>
              </w:rPr>
              <w:t xml:space="preserve">Theo quy định tại Khoản 6 Điều 19, cơ quan giải quyết hồ sơ phải thông báo và xin lỗi chậm nhất 01 ngày trước ngày hết hạn đối với hồ sơ dự kiến quá hạn. Tuy nhiên, quy định này chưa dự kiến các tình huống phát sinh sự cố khách quan (lỗi kỹ thuật, yếu tố bất khả kháng...) </w:t>
            </w:r>
            <w:r w:rsidRPr="00137A24">
              <w:rPr>
                <w:b/>
                <w:bCs/>
                <w:spacing w:val="-4"/>
              </w:rPr>
              <w:t>ngay trong ngày làm việc cuối cùng của thời hạn giải quyết</w:t>
            </w:r>
            <w:r w:rsidRPr="00137A24">
              <w:rPr>
                <w:spacing w:val="-4"/>
              </w:rPr>
              <w:t>. Việc</w:t>
            </w:r>
            <w:r w:rsidR="00137A24">
              <w:rPr>
                <w:spacing w:val="-4"/>
              </w:rPr>
              <w:t xml:space="preserve"> </w:t>
            </w:r>
            <w:r w:rsidRPr="00137A24">
              <w:rPr>
                <w:spacing w:val="-4"/>
              </w:rPr>
              <w:t xml:space="preserve">lùi thời gian lại để thông báo trước 01 ngày trong những trường hợp sự cố phát sinh sát giờ </w:t>
            </w:r>
            <w:r w:rsidR="00137A24" w:rsidRPr="00137A24">
              <w:rPr>
                <w:spacing w:val="-4"/>
              </w:rPr>
              <w:t xml:space="preserve">sẽ khó </w:t>
            </w:r>
            <w:r w:rsidRPr="00137A24">
              <w:rPr>
                <w:spacing w:val="-4"/>
              </w:rPr>
              <w:t>khả thi.</w:t>
            </w:r>
          </w:p>
        </w:tc>
        <w:tc>
          <w:tcPr>
            <w:tcW w:w="3119" w:type="dxa"/>
            <w:vAlign w:val="center"/>
            <w:hideMark/>
          </w:tcPr>
          <w:p w14:paraId="4B7193BD" w14:textId="0B28F9A7" w:rsidR="00E14AA9" w:rsidRPr="00970C43" w:rsidRDefault="00E14AA9" w:rsidP="00E14AA9">
            <w:pPr>
              <w:spacing w:after="160" w:line="278" w:lineRule="auto"/>
              <w:jc w:val="both"/>
            </w:pPr>
            <w:r w:rsidRPr="00146329">
              <w:t>Kiến nghị</w:t>
            </w:r>
            <w:r w:rsidR="00137A24">
              <w:t xml:space="preserve"> </w:t>
            </w:r>
            <w:r w:rsidRPr="00146329">
              <w:t>sửa đổi quy định theo hướng linh hoạt. Cụ thể: Có thể giữ nguyên tắc thông báo sớm, nhưng cần bổ sung quy định ngoại lệ cho phép cơ quan giải quyết thực hiện việc thông báo, xin lỗi ngay trong ngày đến hạn đối với các trường hợp phát sinh sự cố đột xuất, khách quan sát thời điểm trả kết quả (bảo đảm hoàn thành việc thông báo trước khi hết thời hạn giải quyết hồ sơ)</w:t>
            </w:r>
            <w:r w:rsidRPr="00970C43">
              <w:t>.</w:t>
            </w:r>
          </w:p>
        </w:tc>
        <w:tc>
          <w:tcPr>
            <w:tcW w:w="2551" w:type="dxa"/>
            <w:vAlign w:val="center"/>
            <w:hideMark/>
          </w:tcPr>
          <w:p w14:paraId="5F3DA182" w14:textId="68798DF7" w:rsidR="00E14AA9" w:rsidRPr="00970C43" w:rsidRDefault="00E14AA9" w:rsidP="00E14AA9">
            <w:pPr>
              <w:spacing w:after="160" w:line="278" w:lineRule="auto"/>
              <w:jc w:val="both"/>
            </w:pPr>
            <w:r w:rsidRPr="00146329">
              <w:t>Bảo đảm tính khả thi trong khâu tổ chức thực hiện, giúp tháo gỡ điểm nghẽn cho cán bộ, công chức khi gặp các trường hợp</w:t>
            </w:r>
            <w:r w:rsidR="00137A24">
              <w:t xml:space="preserve"> sự cố khách quan</w:t>
            </w:r>
            <w:r w:rsidRPr="00146329">
              <w:t>. Đồng thời, vẫn bảo đảm tính công khai, minh bạch, đề cao trách nhiệm phục vụ và quyền được thông tin kịp thời của người dân, doanh nghiệp.</w:t>
            </w:r>
          </w:p>
        </w:tc>
        <w:tc>
          <w:tcPr>
            <w:tcW w:w="969" w:type="dxa"/>
          </w:tcPr>
          <w:p w14:paraId="63BB9A49" w14:textId="77777777" w:rsidR="00E14AA9" w:rsidRPr="00146329" w:rsidRDefault="00E14AA9" w:rsidP="00E14AA9">
            <w:pPr>
              <w:spacing w:after="160" w:line="278" w:lineRule="auto"/>
            </w:pPr>
          </w:p>
        </w:tc>
      </w:tr>
      <w:tr w:rsidR="00B83240" w:rsidRPr="00970C43" w14:paraId="65BD4F99" w14:textId="77777777" w:rsidTr="00E810CA">
        <w:tc>
          <w:tcPr>
            <w:tcW w:w="635" w:type="dxa"/>
          </w:tcPr>
          <w:p w14:paraId="75684F77" w14:textId="77777777" w:rsidR="00137A24" w:rsidRPr="00137A24" w:rsidRDefault="00137A24" w:rsidP="00B83240">
            <w:pPr>
              <w:spacing w:after="160" w:line="278" w:lineRule="auto"/>
              <w:jc w:val="center"/>
            </w:pPr>
          </w:p>
          <w:p w14:paraId="272E49DB" w14:textId="77777777" w:rsidR="00137A24" w:rsidRPr="00137A24" w:rsidRDefault="00137A24" w:rsidP="00B83240">
            <w:pPr>
              <w:spacing w:after="160" w:line="278" w:lineRule="auto"/>
              <w:jc w:val="center"/>
            </w:pPr>
          </w:p>
          <w:p w14:paraId="17460A6F" w14:textId="425E5B82" w:rsidR="00B83240" w:rsidRPr="00137A24" w:rsidRDefault="00E40120" w:rsidP="00B83240">
            <w:pPr>
              <w:spacing w:after="160" w:line="278" w:lineRule="auto"/>
              <w:jc w:val="center"/>
            </w:pPr>
            <w:r>
              <w:t>7</w:t>
            </w:r>
          </w:p>
        </w:tc>
        <w:tc>
          <w:tcPr>
            <w:tcW w:w="1969" w:type="dxa"/>
            <w:vAlign w:val="center"/>
          </w:tcPr>
          <w:p w14:paraId="750B037C" w14:textId="03D5D8DA" w:rsidR="00B83240" w:rsidRPr="00137A24" w:rsidRDefault="00B83240" w:rsidP="00B83240">
            <w:pPr>
              <w:spacing w:after="160" w:line="278" w:lineRule="auto"/>
            </w:pPr>
            <w:r w:rsidRPr="00970C43">
              <w:t xml:space="preserve">Điểm a </w:t>
            </w:r>
            <w:r w:rsidRPr="00137A24">
              <w:t>K</w:t>
            </w:r>
            <w:r w:rsidRPr="00970C43">
              <w:t>hoản 1 Điều 20</w:t>
            </w:r>
          </w:p>
        </w:tc>
        <w:tc>
          <w:tcPr>
            <w:tcW w:w="5329" w:type="dxa"/>
            <w:vAlign w:val="center"/>
          </w:tcPr>
          <w:p w14:paraId="4291B0F8" w14:textId="06ED747C" w:rsidR="00B83240" w:rsidRPr="00137A24" w:rsidRDefault="00B83240" w:rsidP="00B83240">
            <w:pPr>
              <w:spacing w:after="160" w:line="278" w:lineRule="auto"/>
              <w:jc w:val="both"/>
            </w:pPr>
            <w:r w:rsidRPr="00137A24">
              <w:t>Điểm a khoản 1 Điều 20 quy định chuyển hồ sơ giấy đến cơ quan có thẩm quyền trong thời hạn không quá 01 ngày làm việc kể từ khi tiếp nhận hồ sơ. Tuy nhiên, trong một số trường hợp hồ sơ số hóa nhiều hoặc đối với địa bàn có khoảng cách xa, thời hạn nêu trên đôi lúc còn khó khăn trong quá trình tổ chức thực hiện.</w:t>
            </w:r>
          </w:p>
        </w:tc>
        <w:tc>
          <w:tcPr>
            <w:tcW w:w="3119" w:type="dxa"/>
            <w:vAlign w:val="center"/>
          </w:tcPr>
          <w:p w14:paraId="6A3EFCEC" w14:textId="4E7C0AE0" w:rsidR="00B83240" w:rsidRPr="00137A24" w:rsidRDefault="00B83240" w:rsidP="00B83240">
            <w:pPr>
              <w:spacing w:after="160" w:line="278" w:lineRule="auto"/>
              <w:jc w:val="both"/>
            </w:pPr>
            <w:r w:rsidRPr="00137A24">
              <w:t>Kiến nghị s</w:t>
            </w:r>
            <w:r w:rsidRPr="00970C43">
              <w:t xml:space="preserve">ửa đổi theo hướng chỉ chuyển hồ sơ giấy khi thật sự cần thiết; ưu tiên hồ sơ điện tử, hoặc </w:t>
            </w:r>
            <w:r w:rsidR="00E44C95" w:rsidRPr="00137A24">
              <w:t xml:space="preserve">cho phép </w:t>
            </w:r>
            <w:r w:rsidRPr="00970C43">
              <w:t>thời gian chuyển</w:t>
            </w:r>
            <w:r w:rsidR="00E44C95" w:rsidRPr="00137A24">
              <w:t xml:space="preserve"> hồ sơ giấy dài hơn,</w:t>
            </w:r>
            <w:r w:rsidRPr="00970C43">
              <w:t xml:space="preserve"> phù hợp thực tế.</w:t>
            </w:r>
          </w:p>
        </w:tc>
        <w:tc>
          <w:tcPr>
            <w:tcW w:w="2551" w:type="dxa"/>
            <w:vAlign w:val="center"/>
          </w:tcPr>
          <w:p w14:paraId="0D79D9FB" w14:textId="5736E985" w:rsidR="00B83240" w:rsidRPr="00137A24" w:rsidRDefault="00B83240" w:rsidP="00B83240">
            <w:pPr>
              <w:spacing w:after="160" w:line="278" w:lineRule="auto"/>
              <w:jc w:val="both"/>
            </w:pPr>
            <w:r w:rsidRPr="00970C43">
              <w:t>Phù hợp chủ trương số hóa hồ sơ, giảm chi phí hành chính và thời gian luân chuyển.</w:t>
            </w:r>
          </w:p>
        </w:tc>
        <w:tc>
          <w:tcPr>
            <w:tcW w:w="969" w:type="dxa"/>
          </w:tcPr>
          <w:p w14:paraId="16AC2969" w14:textId="77777777" w:rsidR="00B83240" w:rsidRPr="00137A24" w:rsidRDefault="00B83240" w:rsidP="00B83240">
            <w:pPr>
              <w:spacing w:after="160" w:line="278" w:lineRule="auto"/>
            </w:pPr>
          </w:p>
        </w:tc>
      </w:tr>
      <w:tr w:rsidR="00B83240" w:rsidRPr="00970C43" w14:paraId="60F4CB2E" w14:textId="4F0E1EAD" w:rsidTr="00E810CA">
        <w:tc>
          <w:tcPr>
            <w:tcW w:w="635" w:type="dxa"/>
          </w:tcPr>
          <w:p w14:paraId="51E73030" w14:textId="77777777" w:rsidR="00B83240" w:rsidRPr="00137A24" w:rsidRDefault="00B83240" w:rsidP="00B83240">
            <w:pPr>
              <w:spacing w:after="160" w:line="278" w:lineRule="auto"/>
              <w:jc w:val="center"/>
            </w:pPr>
          </w:p>
          <w:p w14:paraId="25CF3B1C" w14:textId="77777777" w:rsidR="00B83240" w:rsidRPr="00137A24" w:rsidRDefault="00B83240" w:rsidP="00B83240">
            <w:pPr>
              <w:spacing w:after="160" w:line="278" w:lineRule="auto"/>
              <w:jc w:val="center"/>
            </w:pPr>
          </w:p>
          <w:p w14:paraId="2B4813E5" w14:textId="77777777" w:rsidR="00B83240" w:rsidRPr="00137A24" w:rsidRDefault="00B83240" w:rsidP="00B83240">
            <w:pPr>
              <w:spacing w:after="160" w:line="278" w:lineRule="auto"/>
              <w:jc w:val="center"/>
            </w:pPr>
          </w:p>
          <w:p w14:paraId="54FDAA74" w14:textId="77777777" w:rsidR="00B83240" w:rsidRPr="00137A24" w:rsidRDefault="00B83240" w:rsidP="00B83240">
            <w:pPr>
              <w:spacing w:after="160" w:line="278" w:lineRule="auto"/>
              <w:jc w:val="center"/>
            </w:pPr>
          </w:p>
          <w:p w14:paraId="690254EC" w14:textId="6C5A75BA" w:rsidR="00B83240" w:rsidRPr="00137A24" w:rsidRDefault="00E40120" w:rsidP="00B83240">
            <w:pPr>
              <w:spacing w:after="160" w:line="278" w:lineRule="auto"/>
              <w:jc w:val="center"/>
            </w:pPr>
            <w:r>
              <w:t>8</w:t>
            </w:r>
          </w:p>
        </w:tc>
        <w:tc>
          <w:tcPr>
            <w:tcW w:w="1969" w:type="dxa"/>
            <w:vAlign w:val="center"/>
            <w:hideMark/>
          </w:tcPr>
          <w:p w14:paraId="3EF51787" w14:textId="13E8E769" w:rsidR="00B83240" w:rsidRPr="00970C43" w:rsidRDefault="00B83240" w:rsidP="00B83240">
            <w:pPr>
              <w:spacing w:after="160" w:line="278" w:lineRule="auto"/>
            </w:pPr>
            <w:r w:rsidRPr="00970C43">
              <w:t>Khoản 2 Điều 21</w:t>
            </w:r>
          </w:p>
        </w:tc>
        <w:tc>
          <w:tcPr>
            <w:tcW w:w="5329" w:type="dxa"/>
            <w:vAlign w:val="center"/>
            <w:hideMark/>
          </w:tcPr>
          <w:p w14:paraId="5B94641E" w14:textId="1D47F14E" w:rsidR="00B83240" w:rsidRPr="00970C43" w:rsidRDefault="00B83240" w:rsidP="00B83240">
            <w:pPr>
              <w:spacing w:after="160" w:line="278" w:lineRule="auto"/>
              <w:jc w:val="both"/>
            </w:pPr>
            <w:r w:rsidRPr="00137A24">
              <w:t>Theo quy định tại Khoản 2 Điều 21, khi tổ chức, cá nhân nộp hồ sơ trực tuyến có yêu cầu dừng hoặc điều chỉnh nội dung, cơ quan giải quyết sẽ trả lại hồ sơ và phí, lệ phí (nếu có). Tuy nhiên, trên thực tế, việc hoàn trả phí, lệ phí (đặc biệt là các khoản đã thanh toán trực tuyến qua Cổng Dịch vụ công) chưa có</w:t>
            </w:r>
            <w:r w:rsidR="00137A24">
              <w:t xml:space="preserve"> quy định,</w:t>
            </w:r>
            <w:r w:rsidRPr="00137A24">
              <w:t xml:space="preserve"> hướng dẫn cụ thể về quy trình, thủ tục tài chính để trích xuất, hoàn tiền trả lại cho công dân, dẫn đến lúng túng cho bộ phận kế toán và cán bộ Một cửa.</w:t>
            </w:r>
          </w:p>
        </w:tc>
        <w:tc>
          <w:tcPr>
            <w:tcW w:w="3119" w:type="dxa"/>
            <w:vAlign w:val="center"/>
            <w:hideMark/>
          </w:tcPr>
          <w:p w14:paraId="66D1B713" w14:textId="36E389F6" w:rsidR="00B83240" w:rsidRPr="00970C43" w:rsidRDefault="00B83240" w:rsidP="00B83240">
            <w:pPr>
              <w:spacing w:after="160" w:line="278" w:lineRule="auto"/>
              <w:jc w:val="both"/>
            </w:pPr>
            <w:r w:rsidRPr="007F09F2">
              <w:t xml:space="preserve">Kiến nghị nghiên cứu, ban hành quy định, hướng dẫn thống nhất về quy trình, nghiệp vụ kế toán hoàn trả phí, lệ phí cho các trường hợp rút, dừng hồ sơ trực tuyến. Đồng thời, nghiên cứu tích hợp tính năng "Hoàn tiền trực tuyến" (Refund) ngay trên nền tảng thanh toán của Cổng Dịch vụ công </w:t>
            </w:r>
            <w:r w:rsidR="00E8018D">
              <w:t>q</w:t>
            </w:r>
            <w:r w:rsidRPr="007F09F2">
              <w:t>uốc gia để thực hiện đối soát, hoàn tiền tự động hoặc bán tự động.</w:t>
            </w:r>
          </w:p>
        </w:tc>
        <w:tc>
          <w:tcPr>
            <w:tcW w:w="2551" w:type="dxa"/>
            <w:vAlign w:val="center"/>
            <w:hideMark/>
          </w:tcPr>
          <w:p w14:paraId="16694E7D" w14:textId="36C6B72A" w:rsidR="00B83240" w:rsidRPr="00970C43" w:rsidRDefault="00B83240" w:rsidP="00B83240">
            <w:pPr>
              <w:spacing w:after="160" w:line="278" w:lineRule="auto"/>
              <w:jc w:val="both"/>
            </w:pPr>
            <w:r w:rsidRPr="007F09F2">
              <w:t>Sẽ giúp việc hoàn trả phí, lệ phí nhanh chóng, kịp thời hơn; thúc đẩy sử dụng dịch vụ thanh toán trực tuyến của người dân, doanh nghiệp.</w:t>
            </w:r>
          </w:p>
        </w:tc>
        <w:tc>
          <w:tcPr>
            <w:tcW w:w="969" w:type="dxa"/>
          </w:tcPr>
          <w:p w14:paraId="6BBBB4DA" w14:textId="77777777" w:rsidR="00B83240" w:rsidRPr="00970C43" w:rsidRDefault="00B83240" w:rsidP="00B83240">
            <w:pPr>
              <w:spacing w:after="160" w:line="278" w:lineRule="auto"/>
            </w:pPr>
          </w:p>
        </w:tc>
      </w:tr>
    </w:tbl>
    <w:p w14:paraId="73959550" w14:textId="77777777" w:rsidR="00893218" w:rsidRPr="00660D76" w:rsidRDefault="00893218" w:rsidP="00625AEF">
      <w:pPr>
        <w:pStyle w:val="Title"/>
        <w:spacing w:before="0"/>
        <w:ind w:left="0" w:right="1157"/>
        <w:jc w:val="left"/>
        <w:rPr>
          <w:lang w:val="en-US"/>
        </w:rPr>
      </w:pPr>
    </w:p>
    <w:sectPr w:rsidR="00893218" w:rsidRPr="00660D76" w:rsidSect="00893218">
      <w:pgSz w:w="16840" w:h="11907" w:orient="landscape" w:code="9"/>
      <w:pgMar w:top="1418" w:right="1134" w:bottom="1134" w:left="1134" w:header="720" w:footer="59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4C92" w14:textId="77777777" w:rsidR="005F3B66" w:rsidRDefault="005F3B66" w:rsidP="00AF54A0">
      <w:r>
        <w:separator/>
      </w:r>
    </w:p>
  </w:endnote>
  <w:endnote w:type="continuationSeparator" w:id="0">
    <w:p w14:paraId="1D5E1511" w14:textId="77777777" w:rsidR="005F3B66" w:rsidRDefault="005F3B66" w:rsidP="00AF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38C9" w14:textId="77777777" w:rsidR="00AF54A0" w:rsidRDefault="00AF54A0" w:rsidP="000534F8">
    <w:pPr>
      <w:pStyle w:val="Footer"/>
      <w:tabs>
        <w:tab w:val="clear" w:pos="4320"/>
        <w:tab w:val="clear" w:pos="864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426C" w14:textId="46C6EB71" w:rsidR="00AF54A0" w:rsidRDefault="00AF54A0" w:rsidP="005D6C1A">
    <w:pPr>
      <w:tabs>
        <w:tab w:val="left" w:pos="1330"/>
      </w:tabs>
      <w:ind w:right="260"/>
    </w:pPr>
    <w:r>
      <w:rPr>
        <w:noProof/>
      </w:rPr>
      <mc:AlternateContent>
        <mc:Choice Requires="wps">
          <w:drawing>
            <wp:anchor distT="0" distB="0" distL="114300" distR="114300" simplePos="0" relativeHeight="251659264" behindDoc="0" locked="0" layoutInCell="1" allowOverlap="1" wp14:anchorId="4A1DB1F1" wp14:editId="70404AAE">
              <wp:simplePos x="0" y="0"/>
              <wp:positionH relativeFrom="page">
                <wp:posOffset>6880225</wp:posOffset>
              </wp:positionH>
              <wp:positionV relativeFrom="page">
                <wp:posOffset>9944735</wp:posOffset>
              </wp:positionV>
              <wp:extent cx="372745" cy="281305"/>
              <wp:effectExtent l="0" t="1270" r="190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20C943" w14:textId="77777777" w:rsidR="00AF54A0" w:rsidRPr="00BA1CA5" w:rsidRDefault="00AF54A0">
                          <w:pPr>
                            <w:jc w:val="center"/>
                            <w:rPr>
                              <w:color w:val="0F243E"/>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A1DB1F1" id="_x0000_t202" coordsize="21600,21600" o:spt="202" path="m,l,21600r21600,l21600,xe">
              <v:stroke joinstyle="miter"/>
              <v:path gradientshapeok="t" o:connecttype="rect"/>
            </v:shapetype>
            <v:shape id="Text Box 4" o:spid="_x0000_s1026" type="#_x0000_t202" style="position:absolute;margin-left:541.75pt;margin-top:783.0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" stroked="f" strokeweight=".5pt">
              <v:textbox style="mso-fit-shape-to-text:t" inset="0,,0">
                <w:txbxContent>
                  <w:p w14:paraId="0D20C943" w14:textId="77777777" w:rsidR="00AF54A0" w:rsidRPr="00BA1CA5" w:rsidRDefault="00AF54A0">
                    <w:pPr>
                      <w:jc w:val="center"/>
                      <w:rPr>
                        <w:color w:val="0F243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CE45" w14:textId="77777777" w:rsidR="005F3B66" w:rsidRDefault="005F3B66" w:rsidP="00AF54A0">
      <w:r>
        <w:separator/>
      </w:r>
    </w:p>
  </w:footnote>
  <w:footnote w:type="continuationSeparator" w:id="0">
    <w:p w14:paraId="6DAB67D0" w14:textId="77777777" w:rsidR="005F3B66" w:rsidRDefault="005F3B66" w:rsidP="00AF54A0">
      <w:r>
        <w:continuationSeparator/>
      </w:r>
    </w:p>
  </w:footnote>
  <w:footnote w:id="1">
    <w:p w14:paraId="1F223071" w14:textId="0FCF9F8D" w:rsidR="00421972" w:rsidRPr="005830F1" w:rsidRDefault="00421972">
      <w:pPr>
        <w:pStyle w:val="FootnoteText"/>
      </w:pPr>
      <w:r w:rsidRPr="005830F1">
        <w:rPr>
          <w:rStyle w:val="FootnoteReference"/>
          <w:b/>
          <w:bCs/>
        </w:rPr>
        <w:footnoteRef/>
      </w:r>
      <w:r w:rsidRPr="005830F1">
        <w:t xml:space="preserve"> Công văn số 2474/UBND-KSTT ngày 31/12/2025 của UBND tỉnh về việc bố trí cơ sở vật chất Trung tâm Phục vụ hành chính công cấp xã.</w:t>
      </w:r>
    </w:p>
  </w:footnote>
  <w:footnote w:id="2">
    <w:p w14:paraId="1B5D5549" w14:textId="3143C5BF" w:rsidR="00EC6B4C" w:rsidRPr="003C45BB" w:rsidRDefault="00EC6B4C" w:rsidP="00EC6B4C">
      <w:pPr>
        <w:pStyle w:val="FootnoteText"/>
        <w:jc w:val="both"/>
        <w:rPr>
          <w:b/>
          <w:bCs/>
        </w:rPr>
      </w:pPr>
      <w:r w:rsidRPr="003C45BB">
        <w:rPr>
          <w:rStyle w:val="FootnoteReference"/>
          <w:b/>
          <w:bCs/>
          <w:spacing w:val="-4"/>
        </w:rPr>
        <w:footnoteRef/>
      </w:r>
      <w:r w:rsidRPr="003C45BB">
        <w:rPr>
          <w:b/>
          <w:bCs/>
          <w:spacing w:val="-4"/>
        </w:rPr>
        <w:t xml:space="preserve"> </w:t>
      </w:r>
      <w:r w:rsidR="001370BF" w:rsidRPr="003C45BB">
        <w:rPr>
          <w:spacing w:val="-4"/>
        </w:rPr>
        <w:t>Công văn số 1528/UBND-KSTT ngày 27/10/2025 của Chủ tịch UBND tỉnh về rà soát, cắt giảm, đơn giản hóa TTHC có thành phần hồ sơ thay thế bằng dữ liệu.</w:t>
      </w:r>
      <w:r w:rsidR="001370BF" w:rsidRPr="003C45BB">
        <w:rPr>
          <w:b/>
          <w:bCs/>
          <w:spacing w:val="-4"/>
        </w:rPr>
        <w:t xml:space="preserve"> </w:t>
      </w:r>
      <w:r w:rsidRPr="003C45BB">
        <w:rPr>
          <w:spacing w:val="-4"/>
        </w:rPr>
        <w:t>Công văn số 497/UBND-KSTT ngày 15/02/2026 của UBND tỉnh chỉ đạo triển khai kết nối, khai thác sử dụng dữ liệu hộ tịch thay thế giấy tờ trong giải quyết TTHC. Công văn số 552/UBND-KSTT ngày 24/02/2026 của Chủ tịch UBND tỉnh triển khai thực hiện Công văn số 159/TTg-CĐS ngày 13/02/2026 của Thủ tướng Chính phủ về tái sử dụng thông tin, dữ liệu đã được kết nối, chia sẻ để giải quyết TTHC cho người dân,</w:t>
      </w:r>
      <w:r w:rsidRPr="003C45BB">
        <w:t xml:space="preserve"> doanh nghiệp.</w:t>
      </w:r>
    </w:p>
  </w:footnote>
  <w:footnote w:id="3">
    <w:p w14:paraId="0593FBDC" w14:textId="08F1A1A1" w:rsidR="003533F7" w:rsidRPr="003C45BB" w:rsidRDefault="003533F7" w:rsidP="003533F7">
      <w:pPr>
        <w:pStyle w:val="FootnoteText"/>
        <w:jc w:val="both"/>
      </w:pPr>
      <w:r w:rsidRPr="003C45BB">
        <w:rPr>
          <w:rStyle w:val="FootnoteReference"/>
          <w:b/>
          <w:bCs/>
        </w:rPr>
        <w:footnoteRef/>
      </w:r>
      <w:r w:rsidRPr="003C45BB">
        <w:rPr>
          <w:b/>
          <w:bCs/>
        </w:rPr>
        <w:t xml:space="preserve"> </w:t>
      </w:r>
      <w:r w:rsidRPr="003C45BB">
        <w:rPr>
          <w:szCs w:val="28"/>
          <w:lang w:val="vi-VN"/>
        </w:rPr>
        <w:t xml:space="preserve">Quyết định số 43/2024/QĐ-UBND-HC ngày 24/12/2024 của UBND tỉnh Đồng Tháp về việc ban hành Quy chế hoạt động Hệ thống thông tin giải quyết </w:t>
      </w:r>
      <w:r w:rsidRPr="003C45BB">
        <w:rPr>
          <w:szCs w:val="28"/>
        </w:rPr>
        <w:t xml:space="preserve">TTHC </w:t>
      </w:r>
      <w:r w:rsidRPr="003C45BB">
        <w:rPr>
          <w:szCs w:val="28"/>
          <w:lang w:val="vi-VN"/>
        </w:rPr>
        <w:t xml:space="preserve">tỉnh Đồng Tháp và Quyết định số 01/2025/QĐ-UBND ngày 14/01/2025 về ban hành quy chế hoạt động Hệ thống thông tin giải quyết </w:t>
      </w:r>
      <w:r w:rsidRPr="003C45BB">
        <w:rPr>
          <w:szCs w:val="28"/>
        </w:rPr>
        <w:t xml:space="preserve">TTHC </w:t>
      </w:r>
      <w:r w:rsidRPr="003C45BB">
        <w:rPr>
          <w:szCs w:val="28"/>
          <w:lang w:val="vi-VN"/>
        </w:rPr>
        <w:t>tỉnh Tiền Giang.</w:t>
      </w:r>
    </w:p>
  </w:footnote>
  <w:footnote w:id="4">
    <w:p w14:paraId="68FEC7AD" w14:textId="6000BF4B" w:rsidR="003533F7" w:rsidRPr="003533F7" w:rsidRDefault="003533F7">
      <w:pPr>
        <w:pStyle w:val="FootnoteText"/>
        <w:rPr>
          <w:rStyle w:val="FootnoteReference"/>
          <w:color w:val="EE0000"/>
        </w:rPr>
      </w:pPr>
      <w:r w:rsidRPr="008E7F27">
        <w:rPr>
          <w:rStyle w:val="FootnoteReference"/>
          <w:b/>
          <w:bCs/>
        </w:rPr>
        <w:footnoteRef/>
      </w:r>
      <w:r w:rsidRPr="008E7F27">
        <w:rPr>
          <w:rStyle w:val="FootnoteReference"/>
        </w:rPr>
        <w:t xml:space="preserve"> </w:t>
      </w:r>
      <w:r w:rsidRPr="008E7F27">
        <w:t xml:space="preserve">Quyết định số 156/2025/QĐ-CTUBND ngày 22/12/2025 của Chủ tịch </w:t>
      </w:r>
      <w:r w:rsidR="008E7F27">
        <w:t xml:space="preserve">UBND </w:t>
      </w:r>
      <w:r w:rsidRPr="008E7F27">
        <w:t>tỉnh.</w:t>
      </w:r>
    </w:p>
  </w:footnote>
  <w:footnote w:id="5">
    <w:p w14:paraId="78689AEC" w14:textId="77777777" w:rsidR="00AF5C73" w:rsidRPr="008D6BBE" w:rsidRDefault="00AF5C73" w:rsidP="00AF5C73">
      <w:pPr>
        <w:pStyle w:val="FootnoteText"/>
        <w:jc w:val="both"/>
        <w:rPr>
          <w:b/>
          <w:bCs/>
        </w:rPr>
      </w:pPr>
      <w:r w:rsidRPr="008D6BBE">
        <w:rPr>
          <w:rStyle w:val="FootnoteReference"/>
          <w:b/>
          <w:bCs/>
        </w:rPr>
        <w:footnoteRef/>
      </w:r>
      <w:r w:rsidRPr="008D6BBE">
        <w:rPr>
          <w:b/>
          <w:bCs/>
        </w:rPr>
        <w:t xml:space="preserve"> </w:t>
      </w:r>
      <w:r w:rsidRPr="008D6BBE">
        <w:rPr>
          <w:spacing w:val="-4"/>
          <w:kern w:val="20"/>
        </w:rPr>
        <w:t xml:space="preserve">Quyết định số 3394, 3397, 3398, 3399, 3400, 3401, 3404, 3411/QĐ-UBND ngày 31/12/2025; </w:t>
      </w:r>
      <w:r w:rsidRPr="008D6BBE">
        <w:t xml:space="preserve">Quyết định số 288/QĐ-UBND ngày 28/01/2026 </w:t>
      </w:r>
      <w:r w:rsidRPr="008D6BBE">
        <w:rPr>
          <w:spacing w:val="-4"/>
          <w:kern w:val="20"/>
        </w:rPr>
        <w:t>của Chủ tịch UBND tỉnh Đồng Tháp</w:t>
      </w:r>
      <w:r w:rsidRPr="008D6BBE">
        <w:t>.</w:t>
      </w:r>
    </w:p>
  </w:footnote>
  <w:footnote w:id="6">
    <w:p w14:paraId="2240C904" w14:textId="77777777" w:rsidR="00365762" w:rsidRPr="008D6BBE" w:rsidRDefault="00365762" w:rsidP="00365762">
      <w:pPr>
        <w:pStyle w:val="FootnoteText"/>
      </w:pPr>
      <w:r w:rsidRPr="008D6BBE">
        <w:rPr>
          <w:rStyle w:val="FootnoteReference"/>
          <w:b/>
          <w:bCs/>
        </w:rPr>
        <w:footnoteRef/>
      </w:r>
      <w:r w:rsidRPr="008D6BBE">
        <w:rPr>
          <w:b/>
          <w:bCs/>
        </w:rPr>
        <w:t xml:space="preserve"> </w:t>
      </w:r>
      <w:r w:rsidRPr="008D6BBE">
        <w:t>Công văn số 2474/UBND-KSTT ngày 31/12/2025 của UBND tỉnh.</w:t>
      </w:r>
    </w:p>
  </w:footnote>
  <w:footnote w:id="7">
    <w:p w14:paraId="2D8A3C77" w14:textId="77777777" w:rsidR="00365762" w:rsidRPr="008D6BBE" w:rsidRDefault="00365762" w:rsidP="00365762">
      <w:pPr>
        <w:pStyle w:val="FootnoteText"/>
      </w:pPr>
      <w:r w:rsidRPr="008D6BBE">
        <w:rPr>
          <w:rStyle w:val="FootnoteReference"/>
          <w:b/>
          <w:bCs/>
        </w:rPr>
        <w:footnoteRef/>
      </w:r>
      <w:r w:rsidRPr="008D6BBE">
        <w:rPr>
          <w:b/>
          <w:bCs/>
        </w:rPr>
        <w:t xml:space="preserve"> </w:t>
      </w:r>
      <w:r w:rsidRPr="008D6BBE">
        <w:t>Quyết định số 3325/QĐ-UBND ngày 31/12/2025 của UBND tỉnh.</w:t>
      </w:r>
    </w:p>
  </w:footnote>
  <w:footnote w:id="8">
    <w:p w14:paraId="7B7089CD" w14:textId="77777777" w:rsidR="001C4F6C" w:rsidRPr="008D6BBE" w:rsidRDefault="001C4F6C" w:rsidP="001C4F6C">
      <w:pPr>
        <w:pStyle w:val="FootnoteText"/>
      </w:pPr>
      <w:r w:rsidRPr="008D6BBE">
        <w:rPr>
          <w:rStyle w:val="FootnoteReference"/>
          <w:b/>
          <w:bCs/>
          <w:sz w:val="22"/>
          <w:szCs w:val="22"/>
        </w:rPr>
        <w:footnoteRef/>
      </w:r>
      <w:r w:rsidRPr="008D6BBE">
        <w:rPr>
          <w:sz w:val="22"/>
          <w:szCs w:val="22"/>
        </w:rPr>
        <w:t xml:space="preserve"> </w:t>
      </w:r>
      <w:r w:rsidRPr="008D6BBE">
        <w:t>Nghị quyết số 35/2025/NQ-HĐND ngày 23/12/2025 của Hội đồng nhân dân tỉnh.</w:t>
      </w:r>
    </w:p>
  </w:footnote>
  <w:footnote w:id="9">
    <w:p w14:paraId="27637C67" w14:textId="77777777" w:rsidR="001C4F6C" w:rsidRPr="008D6BBE" w:rsidRDefault="001C4F6C" w:rsidP="001C4F6C">
      <w:pPr>
        <w:pStyle w:val="FootnoteText"/>
      </w:pPr>
      <w:r w:rsidRPr="008D6BBE">
        <w:rPr>
          <w:rStyle w:val="FootnoteReference"/>
          <w:b/>
          <w:bCs/>
        </w:rPr>
        <w:footnoteRef/>
      </w:r>
      <w:r w:rsidRPr="008D6BBE">
        <w:t xml:space="preserve"> Công văn số 187/UBND-KSTT ngày 19/01/2026 của UBND tỉnh.</w:t>
      </w:r>
    </w:p>
  </w:footnote>
  <w:footnote w:id="10">
    <w:p w14:paraId="33C3A767" w14:textId="77777777" w:rsidR="00FF38F8" w:rsidRPr="008D6BBE" w:rsidRDefault="00FF38F8" w:rsidP="00FF38F8">
      <w:pPr>
        <w:pStyle w:val="FootnoteText"/>
      </w:pPr>
      <w:r w:rsidRPr="008D6BBE">
        <w:rPr>
          <w:rStyle w:val="FootnoteReference"/>
          <w:b/>
          <w:bCs/>
        </w:rPr>
        <w:footnoteRef/>
      </w:r>
      <w:r w:rsidRPr="008D6BBE">
        <w:rPr>
          <w:b/>
          <w:bCs/>
        </w:rPr>
        <w:t xml:space="preserve"> </w:t>
      </w:r>
      <w:r w:rsidRPr="008D6BBE">
        <w:t xml:space="preserve">Quyết định số 397/QĐ-UBND ngày 06/02/2026 của Chủ tịch UBND tỉnh. </w:t>
      </w:r>
    </w:p>
  </w:footnote>
  <w:footnote w:id="11">
    <w:p w14:paraId="19B9075A" w14:textId="40D140AC" w:rsidR="00217803" w:rsidRPr="008D6BBE" w:rsidRDefault="00217803">
      <w:pPr>
        <w:pStyle w:val="FootnoteText"/>
        <w:rPr>
          <w:b/>
          <w:bCs/>
        </w:rPr>
      </w:pPr>
      <w:r w:rsidRPr="008D6BBE">
        <w:rPr>
          <w:rStyle w:val="FootnoteReference"/>
          <w:b/>
          <w:bCs/>
        </w:rPr>
        <w:footnoteRef/>
      </w:r>
      <w:r w:rsidRPr="008D6BBE">
        <w:rPr>
          <w:b/>
          <w:bCs/>
        </w:rPr>
        <w:t xml:space="preserve"> </w:t>
      </w:r>
      <w:r w:rsidRPr="008D6BBE">
        <w:rPr>
          <w:spacing w:val="-4"/>
          <w:szCs w:val="28"/>
          <w:lang w:val="nl-NL"/>
        </w:rPr>
        <w:t>Quyết định số 138/2025/QĐ-UBND ngày 25/11/2025 của UBND tỉnh.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B7E" w14:textId="1927AD7D" w:rsidR="00AF54A0" w:rsidRDefault="00AF54A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47861">
      <w:rPr>
        <w:rStyle w:val="PageNumber"/>
        <w:rFonts w:eastAsiaTheme="majorEastAsia"/>
        <w:noProof/>
      </w:rPr>
      <w:t>8</w:t>
    </w:r>
    <w:r>
      <w:rPr>
        <w:rStyle w:val="PageNumber"/>
        <w:rFonts w:eastAsiaTheme="majorEastAsia"/>
      </w:rPr>
      <w:fldChar w:fldCharType="end"/>
    </w:r>
  </w:p>
  <w:p w14:paraId="70EFB8A9" w14:textId="77777777" w:rsidR="00AF54A0" w:rsidRDefault="00AF54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365" w14:textId="5BD3BE71" w:rsidR="00AF54A0" w:rsidRDefault="00AF54A0" w:rsidP="005D6C1A">
    <w:pPr>
      <w:pStyle w:val="Header"/>
      <w:jc w:val="center"/>
    </w:pPr>
    <w:r>
      <w:fldChar w:fldCharType="begin"/>
    </w:r>
    <w:r>
      <w:instrText xml:space="preserve"> PAGE   \* MERGEFORMAT </w:instrText>
    </w:r>
    <w:r>
      <w:fldChar w:fldCharType="separate"/>
    </w:r>
    <w:r w:rsidR="00335DE0">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0D"/>
    <w:multiLevelType w:val="hybridMultilevel"/>
    <w:tmpl w:val="97842FB6"/>
    <w:lvl w:ilvl="0" w:tplc="E2DCAD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263F37"/>
    <w:multiLevelType w:val="multilevel"/>
    <w:tmpl w:val="D8A6D8A6"/>
    <w:lvl w:ilvl="0">
      <w:start w:val="1"/>
      <w:numFmt w:val="bullet"/>
      <w:lvlText w:val=""/>
      <w:lvlJc w:val="left"/>
      <w:pPr>
        <w:tabs>
          <w:tab w:val="num" w:pos="-2965"/>
        </w:tabs>
        <w:ind w:left="-2965" w:hanging="360"/>
      </w:pPr>
      <w:rPr>
        <w:rFonts w:ascii="Symbol" w:hAnsi="Symbol" w:hint="default"/>
        <w:sz w:val="20"/>
      </w:rPr>
    </w:lvl>
    <w:lvl w:ilvl="1" w:tentative="1">
      <w:start w:val="1"/>
      <w:numFmt w:val="bullet"/>
      <w:lvlText w:val="o"/>
      <w:lvlJc w:val="left"/>
      <w:pPr>
        <w:tabs>
          <w:tab w:val="num" w:pos="-2245"/>
        </w:tabs>
        <w:ind w:left="-2245" w:hanging="360"/>
      </w:pPr>
      <w:rPr>
        <w:rFonts w:ascii="Courier New" w:hAnsi="Courier New" w:hint="default"/>
        <w:sz w:val="20"/>
      </w:rPr>
    </w:lvl>
    <w:lvl w:ilvl="2" w:tentative="1">
      <w:start w:val="1"/>
      <w:numFmt w:val="bullet"/>
      <w:lvlText w:val=""/>
      <w:lvlJc w:val="left"/>
      <w:pPr>
        <w:tabs>
          <w:tab w:val="num" w:pos="-1525"/>
        </w:tabs>
        <w:ind w:left="-1525" w:hanging="360"/>
      </w:pPr>
      <w:rPr>
        <w:rFonts w:ascii="Wingdings" w:hAnsi="Wingdings" w:hint="default"/>
        <w:sz w:val="20"/>
      </w:rPr>
    </w:lvl>
    <w:lvl w:ilvl="3" w:tentative="1">
      <w:start w:val="1"/>
      <w:numFmt w:val="bullet"/>
      <w:lvlText w:val=""/>
      <w:lvlJc w:val="left"/>
      <w:pPr>
        <w:tabs>
          <w:tab w:val="num" w:pos="-805"/>
        </w:tabs>
        <w:ind w:left="-805" w:hanging="360"/>
      </w:pPr>
      <w:rPr>
        <w:rFonts w:ascii="Wingdings" w:hAnsi="Wingdings" w:hint="default"/>
        <w:sz w:val="20"/>
      </w:rPr>
    </w:lvl>
    <w:lvl w:ilvl="4" w:tentative="1">
      <w:start w:val="1"/>
      <w:numFmt w:val="bullet"/>
      <w:lvlText w:val=""/>
      <w:lvlJc w:val="left"/>
      <w:pPr>
        <w:tabs>
          <w:tab w:val="num" w:pos="-85"/>
        </w:tabs>
        <w:ind w:left="-85" w:hanging="360"/>
      </w:pPr>
      <w:rPr>
        <w:rFonts w:ascii="Wingdings" w:hAnsi="Wingdings" w:hint="default"/>
        <w:sz w:val="20"/>
      </w:rPr>
    </w:lvl>
    <w:lvl w:ilvl="5" w:tentative="1">
      <w:start w:val="1"/>
      <w:numFmt w:val="bullet"/>
      <w:lvlText w:val=""/>
      <w:lvlJc w:val="left"/>
      <w:pPr>
        <w:tabs>
          <w:tab w:val="num" w:pos="635"/>
        </w:tabs>
        <w:ind w:left="635" w:hanging="360"/>
      </w:pPr>
      <w:rPr>
        <w:rFonts w:ascii="Wingdings" w:hAnsi="Wingdings" w:hint="default"/>
        <w:sz w:val="20"/>
      </w:rPr>
    </w:lvl>
    <w:lvl w:ilvl="6" w:tentative="1">
      <w:start w:val="1"/>
      <w:numFmt w:val="bullet"/>
      <w:lvlText w:val=""/>
      <w:lvlJc w:val="left"/>
      <w:pPr>
        <w:tabs>
          <w:tab w:val="num" w:pos="1355"/>
        </w:tabs>
        <w:ind w:left="1355" w:hanging="360"/>
      </w:pPr>
      <w:rPr>
        <w:rFonts w:ascii="Wingdings" w:hAnsi="Wingdings" w:hint="default"/>
        <w:sz w:val="20"/>
      </w:rPr>
    </w:lvl>
    <w:lvl w:ilvl="7" w:tentative="1">
      <w:start w:val="1"/>
      <w:numFmt w:val="bullet"/>
      <w:lvlText w:val=""/>
      <w:lvlJc w:val="left"/>
      <w:pPr>
        <w:tabs>
          <w:tab w:val="num" w:pos="2075"/>
        </w:tabs>
        <w:ind w:left="2075" w:hanging="360"/>
      </w:pPr>
      <w:rPr>
        <w:rFonts w:ascii="Wingdings" w:hAnsi="Wingdings" w:hint="default"/>
        <w:sz w:val="20"/>
      </w:rPr>
    </w:lvl>
    <w:lvl w:ilvl="8" w:tentative="1">
      <w:start w:val="1"/>
      <w:numFmt w:val="bullet"/>
      <w:lvlText w:val=""/>
      <w:lvlJc w:val="left"/>
      <w:pPr>
        <w:tabs>
          <w:tab w:val="num" w:pos="2795"/>
        </w:tabs>
        <w:ind w:left="2795" w:hanging="360"/>
      </w:pPr>
      <w:rPr>
        <w:rFonts w:ascii="Wingdings" w:hAnsi="Wingdings" w:hint="default"/>
        <w:sz w:val="20"/>
      </w:rPr>
    </w:lvl>
  </w:abstractNum>
  <w:abstractNum w:abstractNumId="2" w15:restartNumberingAfterBreak="0">
    <w:nsid w:val="13C92794"/>
    <w:multiLevelType w:val="hybridMultilevel"/>
    <w:tmpl w:val="118806E2"/>
    <w:lvl w:ilvl="0" w:tplc="7AF81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A561DA"/>
    <w:multiLevelType w:val="hybridMultilevel"/>
    <w:tmpl w:val="5C581CD6"/>
    <w:lvl w:ilvl="0" w:tplc="E52C82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C52C91"/>
    <w:multiLevelType w:val="hybridMultilevel"/>
    <w:tmpl w:val="354E4A94"/>
    <w:lvl w:ilvl="0" w:tplc="D6622906">
      <w:start w:val="1"/>
      <w:numFmt w:val="bullet"/>
      <w:suff w:val="space"/>
      <w:lvlText w:val="-"/>
      <w:lvlJc w:val="left"/>
      <w:pPr>
        <w:ind w:left="0" w:firstLine="567"/>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B677971"/>
    <w:multiLevelType w:val="hybridMultilevel"/>
    <w:tmpl w:val="57C6B870"/>
    <w:lvl w:ilvl="0" w:tplc="22C64A3C">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6D4C18A">
      <w:numFmt w:val="bullet"/>
      <w:lvlText w:val="•"/>
      <w:lvlJc w:val="left"/>
      <w:pPr>
        <w:ind w:left="2106" w:hanging="281"/>
      </w:pPr>
      <w:rPr>
        <w:rFonts w:hint="default"/>
        <w:lang w:val="vi" w:eastAsia="en-US" w:bidi="ar-SA"/>
      </w:rPr>
    </w:lvl>
    <w:lvl w:ilvl="2" w:tplc="41AE1432">
      <w:numFmt w:val="bullet"/>
      <w:lvlText w:val="•"/>
      <w:lvlJc w:val="left"/>
      <w:pPr>
        <w:ind w:left="2952" w:hanging="281"/>
      </w:pPr>
      <w:rPr>
        <w:rFonts w:hint="default"/>
        <w:lang w:val="vi" w:eastAsia="en-US" w:bidi="ar-SA"/>
      </w:rPr>
    </w:lvl>
    <w:lvl w:ilvl="3" w:tplc="2F868BC0">
      <w:numFmt w:val="bullet"/>
      <w:lvlText w:val="•"/>
      <w:lvlJc w:val="left"/>
      <w:pPr>
        <w:ind w:left="3798" w:hanging="281"/>
      </w:pPr>
      <w:rPr>
        <w:rFonts w:hint="default"/>
        <w:lang w:val="vi" w:eastAsia="en-US" w:bidi="ar-SA"/>
      </w:rPr>
    </w:lvl>
    <w:lvl w:ilvl="4" w:tplc="D9E259DE">
      <w:numFmt w:val="bullet"/>
      <w:lvlText w:val="•"/>
      <w:lvlJc w:val="left"/>
      <w:pPr>
        <w:ind w:left="4644" w:hanging="281"/>
      </w:pPr>
      <w:rPr>
        <w:rFonts w:hint="default"/>
        <w:lang w:val="vi" w:eastAsia="en-US" w:bidi="ar-SA"/>
      </w:rPr>
    </w:lvl>
    <w:lvl w:ilvl="5" w:tplc="F1FC0E04">
      <w:numFmt w:val="bullet"/>
      <w:lvlText w:val="•"/>
      <w:lvlJc w:val="left"/>
      <w:pPr>
        <w:ind w:left="5490" w:hanging="281"/>
      </w:pPr>
      <w:rPr>
        <w:rFonts w:hint="default"/>
        <w:lang w:val="vi" w:eastAsia="en-US" w:bidi="ar-SA"/>
      </w:rPr>
    </w:lvl>
    <w:lvl w:ilvl="6" w:tplc="F934E72E">
      <w:numFmt w:val="bullet"/>
      <w:lvlText w:val="•"/>
      <w:lvlJc w:val="left"/>
      <w:pPr>
        <w:ind w:left="6336" w:hanging="281"/>
      </w:pPr>
      <w:rPr>
        <w:rFonts w:hint="default"/>
        <w:lang w:val="vi" w:eastAsia="en-US" w:bidi="ar-SA"/>
      </w:rPr>
    </w:lvl>
    <w:lvl w:ilvl="7" w:tplc="875652B8">
      <w:numFmt w:val="bullet"/>
      <w:lvlText w:val="•"/>
      <w:lvlJc w:val="left"/>
      <w:pPr>
        <w:ind w:left="7182" w:hanging="281"/>
      </w:pPr>
      <w:rPr>
        <w:rFonts w:hint="default"/>
        <w:lang w:val="vi" w:eastAsia="en-US" w:bidi="ar-SA"/>
      </w:rPr>
    </w:lvl>
    <w:lvl w:ilvl="8" w:tplc="F62C955E">
      <w:numFmt w:val="bullet"/>
      <w:lvlText w:val="•"/>
      <w:lvlJc w:val="left"/>
      <w:pPr>
        <w:ind w:left="8028" w:hanging="281"/>
      </w:pPr>
      <w:rPr>
        <w:rFonts w:hint="default"/>
        <w:lang w:val="vi" w:eastAsia="en-US" w:bidi="ar-SA"/>
      </w:rPr>
    </w:lvl>
  </w:abstractNum>
  <w:abstractNum w:abstractNumId="6" w15:restartNumberingAfterBreak="0">
    <w:nsid w:val="4C0B0750"/>
    <w:multiLevelType w:val="hybridMultilevel"/>
    <w:tmpl w:val="99028334"/>
    <w:lvl w:ilvl="0" w:tplc="0F48AE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F02718E"/>
    <w:multiLevelType w:val="hybridMultilevel"/>
    <w:tmpl w:val="53B2247C"/>
    <w:lvl w:ilvl="0" w:tplc="2788FF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56580"/>
    <w:multiLevelType w:val="hybridMultilevel"/>
    <w:tmpl w:val="33E0A732"/>
    <w:lvl w:ilvl="0" w:tplc="9864BAF8">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6AE4084A">
      <w:numFmt w:val="bullet"/>
      <w:lvlText w:val="-"/>
      <w:lvlJc w:val="left"/>
      <w:pPr>
        <w:ind w:left="7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7C8B86E">
      <w:numFmt w:val="bullet"/>
      <w:lvlText w:val="•"/>
      <w:lvlJc w:val="left"/>
      <w:pPr>
        <w:ind w:left="1100" w:hanging="164"/>
      </w:pPr>
      <w:rPr>
        <w:rFonts w:hint="default"/>
        <w:lang w:val="vi" w:eastAsia="en-US" w:bidi="ar-SA"/>
      </w:rPr>
    </w:lvl>
    <w:lvl w:ilvl="3" w:tplc="F05242C4">
      <w:numFmt w:val="bullet"/>
      <w:lvlText w:val="•"/>
      <w:lvlJc w:val="left"/>
      <w:pPr>
        <w:ind w:left="2177" w:hanging="164"/>
      </w:pPr>
      <w:rPr>
        <w:rFonts w:hint="default"/>
        <w:lang w:val="vi" w:eastAsia="en-US" w:bidi="ar-SA"/>
      </w:rPr>
    </w:lvl>
    <w:lvl w:ilvl="4" w:tplc="EFA8C4BC">
      <w:numFmt w:val="bullet"/>
      <w:lvlText w:val="•"/>
      <w:lvlJc w:val="left"/>
      <w:pPr>
        <w:ind w:left="3255" w:hanging="164"/>
      </w:pPr>
      <w:rPr>
        <w:rFonts w:hint="default"/>
        <w:lang w:val="vi" w:eastAsia="en-US" w:bidi="ar-SA"/>
      </w:rPr>
    </w:lvl>
    <w:lvl w:ilvl="5" w:tplc="192C191A">
      <w:numFmt w:val="bullet"/>
      <w:lvlText w:val="•"/>
      <w:lvlJc w:val="left"/>
      <w:pPr>
        <w:ind w:left="4332" w:hanging="164"/>
      </w:pPr>
      <w:rPr>
        <w:rFonts w:hint="default"/>
        <w:lang w:val="vi" w:eastAsia="en-US" w:bidi="ar-SA"/>
      </w:rPr>
    </w:lvl>
    <w:lvl w:ilvl="6" w:tplc="5400D972">
      <w:numFmt w:val="bullet"/>
      <w:lvlText w:val="•"/>
      <w:lvlJc w:val="left"/>
      <w:pPr>
        <w:ind w:left="5410" w:hanging="164"/>
      </w:pPr>
      <w:rPr>
        <w:rFonts w:hint="default"/>
        <w:lang w:val="vi" w:eastAsia="en-US" w:bidi="ar-SA"/>
      </w:rPr>
    </w:lvl>
    <w:lvl w:ilvl="7" w:tplc="9A900CE6">
      <w:numFmt w:val="bullet"/>
      <w:lvlText w:val="•"/>
      <w:lvlJc w:val="left"/>
      <w:pPr>
        <w:ind w:left="6487" w:hanging="164"/>
      </w:pPr>
      <w:rPr>
        <w:rFonts w:hint="default"/>
        <w:lang w:val="vi" w:eastAsia="en-US" w:bidi="ar-SA"/>
      </w:rPr>
    </w:lvl>
    <w:lvl w:ilvl="8" w:tplc="20F6D0FC">
      <w:numFmt w:val="bullet"/>
      <w:lvlText w:val="•"/>
      <w:lvlJc w:val="left"/>
      <w:pPr>
        <w:ind w:left="7565" w:hanging="164"/>
      </w:pPr>
      <w:rPr>
        <w:rFonts w:hint="default"/>
        <w:lang w:val="vi" w:eastAsia="en-US" w:bidi="ar-SA"/>
      </w:rPr>
    </w:lvl>
  </w:abstractNum>
  <w:abstractNum w:abstractNumId="9" w15:restartNumberingAfterBreak="0">
    <w:nsid w:val="79545EFA"/>
    <w:multiLevelType w:val="multilevel"/>
    <w:tmpl w:val="E740147E"/>
    <w:lvl w:ilvl="0">
      <w:start w:val="1"/>
      <w:numFmt w:val="decimal"/>
      <w:lvlText w:val="%1."/>
      <w:lvlJc w:val="left"/>
      <w:pPr>
        <w:ind w:left="5322" w:hanging="360"/>
      </w:pPr>
      <w:rPr>
        <w:rFonts w:hint="default"/>
      </w:rPr>
    </w:lvl>
    <w:lvl w:ilvl="1">
      <w:start w:val="1"/>
      <w:numFmt w:val="lowerLetter"/>
      <w:lvlText w:val="%2."/>
      <w:lvlJc w:val="left"/>
      <w:pPr>
        <w:ind w:left="6042" w:hanging="360"/>
      </w:pPr>
    </w:lvl>
    <w:lvl w:ilvl="2">
      <w:start w:val="1"/>
      <w:numFmt w:val="lowerRoman"/>
      <w:lvlText w:val="%3."/>
      <w:lvlJc w:val="right"/>
      <w:pPr>
        <w:ind w:left="6762" w:hanging="180"/>
      </w:pPr>
    </w:lvl>
    <w:lvl w:ilvl="3">
      <w:start w:val="1"/>
      <w:numFmt w:val="decimal"/>
      <w:lvlText w:val="%4."/>
      <w:lvlJc w:val="left"/>
      <w:pPr>
        <w:ind w:left="7482" w:hanging="360"/>
      </w:pPr>
    </w:lvl>
    <w:lvl w:ilvl="4">
      <w:start w:val="1"/>
      <w:numFmt w:val="lowerLetter"/>
      <w:lvlText w:val="%5."/>
      <w:lvlJc w:val="left"/>
      <w:pPr>
        <w:ind w:left="8202" w:hanging="360"/>
      </w:pPr>
    </w:lvl>
    <w:lvl w:ilvl="5">
      <w:start w:val="1"/>
      <w:numFmt w:val="lowerRoman"/>
      <w:lvlText w:val="%6."/>
      <w:lvlJc w:val="right"/>
      <w:pPr>
        <w:ind w:left="8922" w:hanging="180"/>
      </w:pPr>
    </w:lvl>
    <w:lvl w:ilvl="6">
      <w:start w:val="1"/>
      <w:numFmt w:val="decimal"/>
      <w:lvlText w:val="%7."/>
      <w:lvlJc w:val="left"/>
      <w:pPr>
        <w:ind w:left="9642" w:hanging="360"/>
      </w:pPr>
    </w:lvl>
    <w:lvl w:ilvl="7">
      <w:start w:val="1"/>
      <w:numFmt w:val="lowerLetter"/>
      <w:lvlText w:val="%8."/>
      <w:lvlJc w:val="left"/>
      <w:pPr>
        <w:ind w:left="10362" w:hanging="360"/>
      </w:pPr>
    </w:lvl>
    <w:lvl w:ilvl="8">
      <w:start w:val="1"/>
      <w:numFmt w:val="lowerRoman"/>
      <w:lvlText w:val="%9."/>
      <w:lvlJc w:val="right"/>
      <w:pPr>
        <w:ind w:left="11082" w:hanging="180"/>
      </w:pPr>
    </w:lvl>
  </w:abstractNum>
  <w:num w:numId="1" w16cid:durableId="2004889533">
    <w:abstractNumId w:val="8"/>
  </w:num>
  <w:num w:numId="2" w16cid:durableId="694579006">
    <w:abstractNumId w:val="5"/>
  </w:num>
  <w:num w:numId="3" w16cid:durableId="240525922">
    <w:abstractNumId w:val="4"/>
  </w:num>
  <w:num w:numId="4" w16cid:durableId="1107191811">
    <w:abstractNumId w:val="6"/>
  </w:num>
  <w:num w:numId="5" w16cid:durableId="116148466">
    <w:abstractNumId w:val="2"/>
  </w:num>
  <w:num w:numId="6" w16cid:durableId="124278036">
    <w:abstractNumId w:val="9"/>
  </w:num>
  <w:num w:numId="7" w16cid:durableId="149250954">
    <w:abstractNumId w:val="1"/>
  </w:num>
  <w:num w:numId="8" w16cid:durableId="1409041324">
    <w:abstractNumId w:val="3"/>
  </w:num>
  <w:num w:numId="9" w16cid:durableId="2111048270">
    <w:abstractNumId w:val="7"/>
  </w:num>
  <w:num w:numId="10" w16cid:durableId="155065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A0"/>
    <w:rsid w:val="000055E9"/>
    <w:rsid w:val="00007946"/>
    <w:rsid w:val="0001717C"/>
    <w:rsid w:val="000333F8"/>
    <w:rsid w:val="00045015"/>
    <w:rsid w:val="000513DB"/>
    <w:rsid w:val="00091360"/>
    <w:rsid w:val="00093702"/>
    <w:rsid w:val="00095AF0"/>
    <w:rsid w:val="000968EB"/>
    <w:rsid w:val="000A015C"/>
    <w:rsid w:val="000A11BE"/>
    <w:rsid w:val="000C0C20"/>
    <w:rsid w:val="000C5A38"/>
    <w:rsid w:val="000E2C5D"/>
    <w:rsid w:val="00106EBD"/>
    <w:rsid w:val="00110290"/>
    <w:rsid w:val="00123EAA"/>
    <w:rsid w:val="001246A6"/>
    <w:rsid w:val="00125844"/>
    <w:rsid w:val="001342D4"/>
    <w:rsid w:val="001365ED"/>
    <w:rsid w:val="001370BF"/>
    <w:rsid w:val="00137A24"/>
    <w:rsid w:val="00141D87"/>
    <w:rsid w:val="001432EC"/>
    <w:rsid w:val="001455AF"/>
    <w:rsid w:val="00146329"/>
    <w:rsid w:val="001476D7"/>
    <w:rsid w:val="00164247"/>
    <w:rsid w:val="00173CA2"/>
    <w:rsid w:val="00174AFF"/>
    <w:rsid w:val="00184FF9"/>
    <w:rsid w:val="00197A07"/>
    <w:rsid w:val="001B180E"/>
    <w:rsid w:val="001B1990"/>
    <w:rsid w:val="001C255C"/>
    <w:rsid w:val="001C4F6C"/>
    <w:rsid w:val="001D4336"/>
    <w:rsid w:val="001D721B"/>
    <w:rsid w:val="001E63C2"/>
    <w:rsid w:val="002045EA"/>
    <w:rsid w:val="00206D12"/>
    <w:rsid w:val="00210A41"/>
    <w:rsid w:val="002118AC"/>
    <w:rsid w:val="0021342F"/>
    <w:rsid w:val="00217803"/>
    <w:rsid w:val="00223208"/>
    <w:rsid w:val="00233DF5"/>
    <w:rsid w:val="00236587"/>
    <w:rsid w:val="00251F49"/>
    <w:rsid w:val="00252CBB"/>
    <w:rsid w:val="00264BC0"/>
    <w:rsid w:val="00264CA0"/>
    <w:rsid w:val="00265CCA"/>
    <w:rsid w:val="00273028"/>
    <w:rsid w:val="00275C6B"/>
    <w:rsid w:val="00287C96"/>
    <w:rsid w:val="002A2380"/>
    <w:rsid w:val="002B1986"/>
    <w:rsid w:val="002B2B2D"/>
    <w:rsid w:val="002B37A4"/>
    <w:rsid w:val="002B593C"/>
    <w:rsid w:val="002D18E7"/>
    <w:rsid w:val="002D3E5E"/>
    <w:rsid w:val="002D4A6E"/>
    <w:rsid w:val="002D66F8"/>
    <w:rsid w:val="002D7414"/>
    <w:rsid w:val="002E2386"/>
    <w:rsid w:val="002E3EBC"/>
    <w:rsid w:val="002E57E0"/>
    <w:rsid w:val="00304056"/>
    <w:rsid w:val="00305380"/>
    <w:rsid w:val="00306D38"/>
    <w:rsid w:val="00320D5C"/>
    <w:rsid w:val="00330D3D"/>
    <w:rsid w:val="00335DE0"/>
    <w:rsid w:val="003452FD"/>
    <w:rsid w:val="00347861"/>
    <w:rsid w:val="003502D5"/>
    <w:rsid w:val="003533F7"/>
    <w:rsid w:val="00361C72"/>
    <w:rsid w:val="00363DE3"/>
    <w:rsid w:val="00364381"/>
    <w:rsid w:val="00365762"/>
    <w:rsid w:val="003712EF"/>
    <w:rsid w:val="00377583"/>
    <w:rsid w:val="00394088"/>
    <w:rsid w:val="003A72C0"/>
    <w:rsid w:val="003B5145"/>
    <w:rsid w:val="003C45BB"/>
    <w:rsid w:val="003D37FA"/>
    <w:rsid w:val="003F10AD"/>
    <w:rsid w:val="003F3438"/>
    <w:rsid w:val="004126A4"/>
    <w:rsid w:val="004128DF"/>
    <w:rsid w:val="00421972"/>
    <w:rsid w:val="00423B16"/>
    <w:rsid w:val="00423DDE"/>
    <w:rsid w:val="00434B3F"/>
    <w:rsid w:val="004367DA"/>
    <w:rsid w:val="004531E1"/>
    <w:rsid w:val="00467C24"/>
    <w:rsid w:val="004702C3"/>
    <w:rsid w:val="004746B6"/>
    <w:rsid w:val="0047549B"/>
    <w:rsid w:val="004811A3"/>
    <w:rsid w:val="00492AA5"/>
    <w:rsid w:val="004A262D"/>
    <w:rsid w:val="004A4726"/>
    <w:rsid w:val="004A745D"/>
    <w:rsid w:val="004B4CD1"/>
    <w:rsid w:val="004B7BB5"/>
    <w:rsid w:val="004C1872"/>
    <w:rsid w:val="004D6FF9"/>
    <w:rsid w:val="004F46A4"/>
    <w:rsid w:val="005021BB"/>
    <w:rsid w:val="005049AD"/>
    <w:rsid w:val="0050500A"/>
    <w:rsid w:val="005072CC"/>
    <w:rsid w:val="00507527"/>
    <w:rsid w:val="005149DE"/>
    <w:rsid w:val="00515B41"/>
    <w:rsid w:val="00527EDE"/>
    <w:rsid w:val="0053167B"/>
    <w:rsid w:val="00532E1C"/>
    <w:rsid w:val="00533E1A"/>
    <w:rsid w:val="005370F6"/>
    <w:rsid w:val="005411AE"/>
    <w:rsid w:val="00546246"/>
    <w:rsid w:val="005621A5"/>
    <w:rsid w:val="00577B46"/>
    <w:rsid w:val="00577E8B"/>
    <w:rsid w:val="005830F1"/>
    <w:rsid w:val="00585736"/>
    <w:rsid w:val="00596593"/>
    <w:rsid w:val="00597E8A"/>
    <w:rsid w:val="005B6A40"/>
    <w:rsid w:val="005C6CFA"/>
    <w:rsid w:val="005D34C3"/>
    <w:rsid w:val="005D6C1A"/>
    <w:rsid w:val="005D70F4"/>
    <w:rsid w:val="005F3B66"/>
    <w:rsid w:val="00603D61"/>
    <w:rsid w:val="006051CB"/>
    <w:rsid w:val="006178BC"/>
    <w:rsid w:val="006254B4"/>
    <w:rsid w:val="00625AEF"/>
    <w:rsid w:val="00646110"/>
    <w:rsid w:val="00660D76"/>
    <w:rsid w:val="00666D9D"/>
    <w:rsid w:val="006750B4"/>
    <w:rsid w:val="00693E00"/>
    <w:rsid w:val="006B3829"/>
    <w:rsid w:val="006C3528"/>
    <w:rsid w:val="006C3AC9"/>
    <w:rsid w:val="006C3EA3"/>
    <w:rsid w:val="006D594B"/>
    <w:rsid w:val="006F7E9F"/>
    <w:rsid w:val="00712588"/>
    <w:rsid w:val="00712CCB"/>
    <w:rsid w:val="00713D9A"/>
    <w:rsid w:val="00721D0B"/>
    <w:rsid w:val="00725B07"/>
    <w:rsid w:val="00742F67"/>
    <w:rsid w:val="007729EF"/>
    <w:rsid w:val="00780879"/>
    <w:rsid w:val="00785A9E"/>
    <w:rsid w:val="00786887"/>
    <w:rsid w:val="00793247"/>
    <w:rsid w:val="007A6D93"/>
    <w:rsid w:val="007C6832"/>
    <w:rsid w:val="007C7ED4"/>
    <w:rsid w:val="007D3959"/>
    <w:rsid w:val="007D3E5E"/>
    <w:rsid w:val="007F09F2"/>
    <w:rsid w:val="007F7A7E"/>
    <w:rsid w:val="00802D46"/>
    <w:rsid w:val="008077D5"/>
    <w:rsid w:val="00807E67"/>
    <w:rsid w:val="00823DB0"/>
    <w:rsid w:val="00840594"/>
    <w:rsid w:val="008448B9"/>
    <w:rsid w:val="00865243"/>
    <w:rsid w:val="008661FD"/>
    <w:rsid w:val="008675F8"/>
    <w:rsid w:val="00872FC1"/>
    <w:rsid w:val="008752CC"/>
    <w:rsid w:val="00881FDC"/>
    <w:rsid w:val="00882DA2"/>
    <w:rsid w:val="00893218"/>
    <w:rsid w:val="008A3BF4"/>
    <w:rsid w:val="008A5E35"/>
    <w:rsid w:val="008A6D51"/>
    <w:rsid w:val="008B5A76"/>
    <w:rsid w:val="008B7472"/>
    <w:rsid w:val="008C37B5"/>
    <w:rsid w:val="008D6BBE"/>
    <w:rsid w:val="008D7012"/>
    <w:rsid w:val="008E7F27"/>
    <w:rsid w:val="008F0B73"/>
    <w:rsid w:val="008F6F16"/>
    <w:rsid w:val="00904360"/>
    <w:rsid w:val="00904630"/>
    <w:rsid w:val="00913ADB"/>
    <w:rsid w:val="00916FB9"/>
    <w:rsid w:val="00931104"/>
    <w:rsid w:val="00933E56"/>
    <w:rsid w:val="009357C5"/>
    <w:rsid w:val="009361DD"/>
    <w:rsid w:val="00942F58"/>
    <w:rsid w:val="009473C8"/>
    <w:rsid w:val="00952A33"/>
    <w:rsid w:val="00964B73"/>
    <w:rsid w:val="00970411"/>
    <w:rsid w:val="00972FD4"/>
    <w:rsid w:val="00983684"/>
    <w:rsid w:val="00987F7C"/>
    <w:rsid w:val="00990C64"/>
    <w:rsid w:val="00996038"/>
    <w:rsid w:val="009B2CC2"/>
    <w:rsid w:val="009C1159"/>
    <w:rsid w:val="009C2380"/>
    <w:rsid w:val="009C26BC"/>
    <w:rsid w:val="009C6C5E"/>
    <w:rsid w:val="009E0B9A"/>
    <w:rsid w:val="009E0D77"/>
    <w:rsid w:val="009F58D1"/>
    <w:rsid w:val="009F68DF"/>
    <w:rsid w:val="00A166E3"/>
    <w:rsid w:val="00A25932"/>
    <w:rsid w:val="00A26FA0"/>
    <w:rsid w:val="00A377D3"/>
    <w:rsid w:val="00A52015"/>
    <w:rsid w:val="00A5690D"/>
    <w:rsid w:val="00A64B1E"/>
    <w:rsid w:val="00A7060F"/>
    <w:rsid w:val="00A728CD"/>
    <w:rsid w:val="00A80E3B"/>
    <w:rsid w:val="00AA1A31"/>
    <w:rsid w:val="00AA28CA"/>
    <w:rsid w:val="00AA3812"/>
    <w:rsid w:val="00AB0702"/>
    <w:rsid w:val="00AB2F29"/>
    <w:rsid w:val="00AB3C0E"/>
    <w:rsid w:val="00AB7725"/>
    <w:rsid w:val="00AE0EB1"/>
    <w:rsid w:val="00AE4CC3"/>
    <w:rsid w:val="00AE7ED4"/>
    <w:rsid w:val="00AF54A0"/>
    <w:rsid w:val="00AF5C73"/>
    <w:rsid w:val="00B2309C"/>
    <w:rsid w:val="00B268A1"/>
    <w:rsid w:val="00B30D9B"/>
    <w:rsid w:val="00B42A58"/>
    <w:rsid w:val="00B62EB9"/>
    <w:rsid w:val="00B6695F"/>
    <w:rsid w:val="00B67E0A"/>
    <w:rsid w:val="00B823A7"/>
    <w:rsid w:val="00B83240"/>
    <w:rsid w:val="00B925FC"/>
    <w:rsid w:val="00B93C20"/>
    <w:rsid w:val="00B93F80"/>
    <w:rsid w:val="00B946AC"/>
    <w:rsid w:val="00B976A6"/>
    <w:rsid w:val="00BA523B"/>
    <w:rsid w:val="00BC3D97"/>
    <w:rsid w:val="00BE646B"/>
    <w:rsid w:val="00BF0634"/>
    <w:rsid w:val="00BF0B6C"/>
    <w:rsid w:val="00BF5B10"/>
    <w:rsid w:val="00C01793"/>
    <w:rsid w:val="00C027D8"/>
    <w:rsid w:val="00C102B1"/>
    <w:rsid w:val="00C1789A"/>
    <w:rsid w:val="00C365A5"/>
    <w:rsid w:val="00C52E33"/>
    <w:rsid w:val="00C55DB6"/>
    <w:rsid w:val="00C66AAD"/>
    <w:rsid w:val="00C76098"/>
    <w:rsid w:val="00C97423"/>
    <w:rsid w:val="00CA39DE"/>
    <w:rsid w:val="00CA450B"/>
    <w:rsid w:val="00CA530F"/>
    <w:rsid w:val="00CB2114"/>
    <w:rsid w:val="00CB276F"/>
    <w:rsid w:val="00CD091B"/>
    <w:rsid w:val="00CD7579"/>
    <w:rsid w:val="00CE220E"/>
    <w:rsid w:val="00CE458E"/>
    <w:rsid w:val="00CF0A84"/>
    <w:rsid w:val="00CF4612"/>
    <w:rsid w:val="00D0215B"/>
    <w:rsid w:val="00D04DB6"/>
    <w:rsid w:val="00D05CB0"/>
    <w:rsid w:val="00D06FE7"/>
    <w:rsid w:val="00D108D9"/>
    <w:rsid w:val="00D12575"/>
    <w:rsid w:val="00D161F3"/>
    <w:rsid w:val="00D27513"/>
    <w:rsid w:val="00D5333B"/>
    <w:rsid w:val="00D60493"/>
    <w:rsid w:val="00D63B51"/>
    <w:rsid w:val="00D8772F"/>
    <w:rsid w:val="00DA3C22"/>
    <w:rsid w:val="00DA57B1"/>
    <w:rsid w:val="00DA59EC"/>
    <w:rsid w:val="00DB5436"/>
    <w:rsid w:val="00DD066F"/>
    <w:rsid w:val="00DD1475"/>
    <w:rsid w:val="00DD55BD"/>
    <w:rsid w:val="00DF0831"/>
    <w:rsid w:val="00DF2A36"/>
    <w:rsid w:val="00E14AA9"/>
    <w:rsid w:val="00E36823"/>
    <w:rsid w:val="00E40120"/>
    <w:rsid w:val="00E42DFB"/>
    <w:rsid w:val="00E44C95"/>
    <w:rsid w:val="00E5337A"/>
    <w:rsid w:val="00E5545C"/>
    <w:rsid w:val="00E7127E"/>
    <w:rsid w:val="00E76945"/>
    <w:rsid w:val="00E8018D"/>
    <w:rsid w:val="00E810CA"/>
    <w:rsid w:val="00E815A4"/>
    <w:rsid w:val="00E83901"/>
    <w:rsid w:val="00E8428A"/>
    <w:rsid w:val="00E84A19"/>
    <w:rsid w:val="00E84D6F"/>
    <w:rsid w:val="00E9589F"/>
    <w:rsid w:val="00EA43C6"/>
    <w:rsid w:val="00EB205F"/>
    <w:rsid w:val="00EB4A4B"/>
    <w:rsid w:val="00EB4F6D"/>
    <w:rsid w:val="00EC6B4C"/>
    <w:rsid w:val="00ED12C7"/>
    <w:rsid w:val="00EE05CF"/>
    <w:rsid w:val="00EE1CEE"/>
    <w:rsid w:val="00EE4079"/>
    <w:rsid w:val="00EF10EF"/>
    <w:rsid w:val="00EF1E83"/>
    <w:rsid w:val="00EF3762"/>
    <w:rsid w:val="00F028D0"/>
    <w:rsid w:val="00F03909"/>
    <w:rsid w:val="00F13AA0"/>
    <w:rsid w:val="00F20227"/>
    <w:rsid w:val="00F235B3"/>
    <w:rsid w:val="00F26565"/>
    <w:rsid w:val="00F33583"/>
    <w:rsid w:val="00F338CE"/>
    <w:rsid w:val="00F42EF3"/>
    <w:rsid w:val="00F52507"/>
    <w:rsid w:val="00F62513"/>
    <w:rsid w:val="00F67FB6"/>
    <w:rsid w:val="00F73003"/>
    <w:rsid w:val="00F8345B"/>
    <w:rsid w:val="00F85FEA"/>
    <w:rsid w:val="00F9110A"/>
    <w:rsid w:val="00F947BA"/>
    <w:rsid w:val="00FB56AB"/>
    <w:rsid w:val="00FD66AF"/>
    <w:rsid w:val="00FE3CB8"/>
    <w:rsid w:val="00FF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DB26"/>
  <w15:chartTrackingRefBased/>
  <w15:docId w15:val="{7E4D69C8-86B2-4B08-A224-E9DA0856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A0"/>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autoRedefine/>
    <w:qFormat/>
    <w:rsid w:val="00603D61"/>
    <w:pPr>
      <w:keepNext/>
      <w:keepLines/>
      <w:jc w:val="center"/>
      <w:outlineLvl w:val="0"/>
    </w:pPr>
    <w:rPr>
      <w:rFonts w:eastAsiaTheme="majorEastAsia" w:cstheme="majorBidi"/>
      <w:b/>
      <w:sz w:val="28"/>
      <w:szCs w:val="28"/>
    </w:rPr>
  </w:style>
  <w:style w:type="paragraph" w:styleId="Heading5">
    <w:name w:val="heading 5"/>
    <w:basedOn w:val="Normal"/>
    <w:next w:val="Normal"/>
    <w:link w:val="Heading5Char"/>
    <w:qFormat/>
    <w:rsid w:val="00AF54A0"/>
    <w:pPr>
      <w:keepNext/>
      <w:outlineLvl w:val="4"/>
    </w:pPr>
    <w:rPr>
      <w:b/>
      <w:spacing w:val="-20"/>
    </w:rPr>
  </w:style>
  <w:style w:type="paragraph" w:styleId="Heading7">
    <w:name w:val="heading 7"/>
    <w:basedOn w:val="Normal"/>
    <w:next w:val="Normal"/>
    <w:link w:val="Heading7Char"/>
    <w:qFormat/>
    <w:rsid w:val="00AF54A0"/>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D61"/>
    <w:rPr>
      <w:rFonts w:ascii="Times New Roman" w:eastAsiaTheme="majorEastAsia" w:hAnsi="Times New Roman" w:cstheme="majorBidi"/>
      <w:b/>
      <w:sz w:val="28"/>
      <w:szCs w:val="28"/>
    </w:rPr>
  </w:style>
  <w:style w:type="character" w:customStyle="1" w:styleId="Heading5Char">
    <w:name w:val="Heading 5 Char"/>
    <w:basedOn w:val="DefaultParagraphFont"/>
    <w:link w:val="Heading5"/>
    <w:rsid w:val="00AF54A0"/>
    <w:rPr>
      <w:rFonts w:ascii="Times New Roman" w:eastAsia="Times New Roman" w:hAnsi="Times New Roman" w:cs="Times New Roman"/>
      <w:b/>
      <w:spacing w:val="-20"/>
      <w:sz w:val="26"/>
      <w:szCs w:val="26"/>
    </w:rPr>
  </w:style>
  <w:style w:type="character" w:customStyle="1" w:styleId="Heading7Char">
    <w:name w:val="Heading 7 Char"/>
    <w:basedOn w:val="DefaultParagraphFont"/>
    <w:link w:val="Heading7"/>
    <w:rsid w:val="00AF54A0"/>
    <w:rPr>
      <w:rFonts w:ascii="Times New Roman" w:eastAsia="Times New Roman" w:hAnsi="Times New Roman" w:cs="Times New Roman"/>
      <w:b/>
      <w:sz w:val="26"/>
      <w:szCs w:val="26"/>
    </w:rPr>
  </w:style>
  <w:style w:type="character" w:customStyle="1" w:styleId="BodyTextIndentChar">
    <w:name w:val="Body Text Indent Char"/>
    <w:link w:val="BodyTextIndent"/>
    <w:rsid w:val="00AF54A0"/>
    <w:rPr>
      <w:sz w:val="28"/>
      <w:szCs w:val="24"/>
    </w:rPr>
  </w:style>
  <w:style w:type="paragraph" w:styleId="Header">
    <w:name w:val="header"/>
    <w:basedOn w:val="Normal"/>
    <w:link w:val="HeaderChar"/>
    <w:uiPriority w:val="99"/>
    <w:rsid w:val="00AF54A0"/>
    <w:pPr>
      <w:tabs>
        <w:tab w:val="center" w:pos="4320"/>
        <w:tab w:val="right" w:pos="8640"/>
      </w:tabs>
    </w:pPr>
    <w:rPr>
      <w:sz w:val="24"/>
      <w:szCs w:val="24"/>
    </w:rPr>
  </w:style>
  <w:style w:type="character" w:customStyle="1" w:styleId="HeaderChar">
    <w:name w:val="Header Char"/>
    <w:basedOn w:val="DefaultParagraphFont"/>
    <w:link w:val="Header"/>
    <w:uiPriority w:val="99"/>
    <w:rsid w:val="00AF54A0"/>
    <w:rPr>
      <w:rFonts w:ascii="Times New Roman" w:eastAsia="Times New Roman" w:hAnsi="Times New Roman" w:cs="Times New Roman"/>
      <w:sz w:val="24"/>
      <w:szCs w:val="24"/>
    </w:rPr>
  </w:style>
  <w:style w:type="character" w:styleId="PageNumber">
    <w:name w:val="page number"/>
    <w:basedOn w:val="DefaultParagraphFont"/>
    <w:rsid w:val="00AF54A0"/>
  </w:style>
  <w:style w:type="paragraph" w:styleId="BodyTextIndent">
    <w:name w:val="Body Text Indent"/>
    <w:basedOn w:val="Normal"/>
    <w:link w:val="BodyTextIndentChar"/>
    <w:rsid w:val="00AF54A0"/>
    <w:pPr>
      <w:spacing w:before="120" w:after="120"/>
      <w:ind w:firstLine="567"/>
      <w:jc w:val="both"/>
    </w:pPr>
    <w:rPr>
      <w:rFonts w:asciiTheme="minorHAnsi" w:eastAsiaTheme="minorHAnsi" w:hAnsiTheme="minorHAnsi" w:cstheme="minorBidi"/>
      <w:sz w:val="28"/>
      <w:szCs w:val="24"/>
    </w:rPr>
  </w:style>
  <w:style w:type="character" w:customStyle="1" w:styleId="BodyTextIndentChar1">
    <w:name w:val="Body Text Indent Char1"/>
    <w:basedOn w:val="DefaultParagraphFont"/>
    <w:uiPriority w:val="99"/>
    <w:semiHidden/>
    <w:rsid w:val="00AF54A0"/>
    <w:rPr>
      <w:rFonts w:ascii="Times New Roman" w:eastAsia="Times New Roman" w:hAnsi="Times New Roman" w:cs="Times New Roman"/>
      <w:sz w:val="26"/>
      <w:szCs w:val="26"/>
    </w:rPr>
  </w:style>
  <w:style w:type="paragraph" w:styleId="Footer">
    <w:name w:val="footer"/>
    <w:basedOn w:val="Normal"/>
    <w:link w:val="FooterChar"/>
    <w:uiPriority w:val="99"/>
    <w:rsid w:val="00AF54A0"/>
    <w:pPr>
      <w:tabs>
        <w:tab w:val="center" w:pos="4320"/>
        <w:tab w:val="right" w:pos="8640"/>
      </w:tabs>
    </w:pPr>
    <w:rPr>
      <w:sz w:val="24"/>
      <w:szCs w:val="24"/>
    </w:rPr>
  </w:style>
  <w:style w:type="character" w:customStyle="1" w:styleId="FooterChar">
    <w:name w:val="Footer Char"/>
    <w:basedOn w:val="DefaultParagraphFont"/>
    <w:link w:val="Footer"/>
    <w:uiPriority w:val="99"/>
    <w:rsid w:val="00AF54A0"/>
    <w:rPr>
      <w:rFonts w:ascii="Times New Roman" w:eastAsia="Times New Roman" w:hAnsi="Times New Roman" w:cs="Times New Roman"/>
      <w:sz w:val="24"/>
      <w:szCs w:val="24"/>
    </w:rPr>
  </w:style>
  <w:style w:type="paragraph" w:styleId="FootnoteText">
    <w:name w:val="footnote text"/>
    <w:aliases w:val="Char9,Char9 Char,Footnote Text Char Char Char Char Char,Footnote Text Char Char Char Char Char Char Ch Char Char Char,Footnote Text Char Char Char Char Char Char Ch Char Char Char Char Char Char C,fn,fn Char Char,Cha,Ch,Cha Ch,single space"/>
    <w:basedOn w:val="Normal"/>
    <w:link w:val="FootnoteTextChar"/>
    <w:uiPriority w:val="99"/>
    <w:unhideWhenUsed/>
    <w:qFormat/>
    <w:rsid w:val="00AF54A0"/>
    <w:rPr>
      <w:sz w:val="20"/>
      <w:szCs w:val="20"/>
    </w:rPr>
  </w:style>
  <w:style w:type="character" w:customStyle="1" w:styleId="FootnoteTextChar">
    <w:name w:val="Footnote Text Char"/>
    <w:aliases w:val="Char9 Char1,Char9 Char Char,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sid w:val="00AF54A0"/>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4_,10 p,Footnote Char,Footnote text Char,ftref Char,BearingPoint Char,16 Point Ch"/>
    <w:basedOn w:val="DefaultParagraphFont"/>
    <w:link w:val="CharChar1CharCharCharChar1CharCharCharCharCharCharCharChar"/>
    <w:unhideWhenUsed/>
    <w:qFormat/>
    <w:rsid w:val="00AF54A0"/>
    <w:rPr>
      <w:vertAlign w:val="superscript"/>
    </w:rPr>
  </w:style>
  <w:style w:type="character" w:customStyle="1" w:styleId="fontstyle01">
    <w:name w:val="fontstyle01"/>
    <w:rsid w:val="00AF54A0"/>
    <w:rPr>
      <w:rFonts w:ascii="TimesNewRomanPSMT" w:hAnsi="TimesNewRomanPSMT" w:hint="default"/>
      <w:b w:val="0"/>
      <w:bCs w:val="0"/>
      <w:i w:val="0"/>
      <w:iCs w:val="0"/>
      <w:color w:val="000000"/>
      <w:sz w:val="28"/>
      <w:szCs w:val="28"/>
    </w:rPr>
  </w:style>
  <w:style w:type="paragraph" w:styleId="ListParagraph">
    <w:name w:val="List Paragraph"/>
    <w:basedOn w:val="Normal"/>
    <w:uiPriority w:val="99"/>
    <w:qFormat/>
    <w:rsid w:val="00AF54A0"/>
    <w:pPr>
      <w:ind w:left="720"/>
      <w:contextualSpacing/>
    </w:pPr>
  </w:style>
  <w:style w:type="paragraph" w:styleId="BodyText">
    <w:name w:val="Body Text"/>
    <w:basedOn w:val="Normal"/>
    <w:link w:val="BodyTextChar"/>
    <w:uiPriority w:val="1"/>
    <w:unhideWhenUsed/>
    <w:qFormat/>
    <w:rsid w:val="00AF54A0"/>
    <w:pPr>
      <w:spacing w:after="120"/>
    </w:pPr>
  </w:style>
  <w:style w:type="character" w:customStyle="1" w:styleId="BodyTextChar">
    <w:name w:val="Body Text Char"/>
    <w:basedOn w:val="DefaultParagraphFont"/>
    <w:link w:val="BodyText"/>
    <w:uiPriority w:val="1"/>
    <w:rsid w:val="00AF54A0"/>
    <w:rPr>
      <w:rFonts w:ascii="Times New Roman" w:eastAsia="Times New Roman" w:hAnsi="Times New Roman" w:cs="Times New Roman"/>
      <w:sz w:val="26"/>
      <w:szCs w:val="26"/>
    </w:rPr>
  </w:style>
  <w:style w:type="numbering" w:customStyle="1" w:styleId="NoList1">
    <w:name w:val="No List1"/>
    <w:next w:val="NoList"/>
    <w:uiPriority w:val="99"/>
    <w:semiHidden/>
    <w:unhideWhenUsed/>
    <w:rsid w:val="00AF54A0"/>
  </w:style>
  <w:style w:type="paragraph" w:styleId="Title">
    <w:name w:val="Title"/>
    <w:basedOn w:val="Normal"/>
    <w:link w:val="TitleChar"/>
    <w:uiPriority w:val="1"/>
    <w:qFormat/>
    <w:rsid w:val="00AF54A0"/>
    <w:pPr>
      <w:widowControl w:val="0"/>
      <w:autoSpaceDE w:val="0"/>
      <w:autoSpaceDN w:val="0"/>
      <w:spacing w:before="174"/>
      <w:ind w:left="1367" w:right="1155"/>
      <w:jc w:val="center"/>
    </w:pPr>
    <w:rPr>
      <w:b/>
      <w:bCs/>
      <w:sz w:val="28"/>
      <w:szCs w:val="28"/>
      <w:lang w:val="vi"/>
    </w:rPr>
  </w:style>
  <w:style w:type="character" w:customStyle="1" w:styleId="TitleChar">
    <w:name w:val="Title Char"/>
    <w:basedOn w:val="DefaultParagraphFont"/>
    <w:link w:val="Title"/>
    <w:uiPriority w:val="1"/>
    <w:rsid w:val="00AF54A0"/>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AF54A0"/>
    <w:pPr>
      <w:widowControl w:val="0"/>
      <w:autoSpaceDE w:val="0"/>
      <w:autoSpaceDN w:val="0"/>
    </w:pPr>
    <w:rPr>
      <w:sz w:val="22"/>
      <w:szCs w:val="22"/>
      <w:lang w:val="vi"/>
    </w:rPr>
  </w:style>
  <w:style w:type="paragraph" w:styleId="BalloonText">
    <w:name w:val="Balloon Text"/>
    <w:basedOn w:val="Normal"/>
    <w:link w:val="BalloonTextChar"/>
    <w:uiPriority w:val="99"/>
    <w:semiHidden/>
    <w:unhideWhenUsed/>
    <w:rsid w:val="00AF54A0"/>
    <w:pPr>
      <w:widowControl w:val="0"/>
      <w:autoSpaceDE w:val="0"/>
      <w:autoSpaceDN w:val="0"/>
    </w:pPr>
    <w:rPr>
      <w:rFonts w:ascii="Segoe UI" w:hAnsi="Segoe UI" w:cs="Segoe UI"/>
      <w:sz w:val="18"/>
      <w:szCs w:val="18"/>
      <w:lang w:val="vi"/>
    </w:rPr>
  </w:style>
  <w:style w:type="character" w:customStyle="1" w:styleId="BalloonTextChar">
    <w:name w:val="Balloon Text Char"/>
    <w:basedOn w:val="DefaultParagraphFont"/>
    <w:link w:val="BalloonText"/>
    <w:uiPriority w:val="99"/>
    <w:semiHidden/>
    <w:rsid w:val="00AF54A0"/>
    <w:rPr>
      <w:rFonts w:ascii="Segoe UI" w:eastAsia="Times New Roman" w:hAnsi="Segoe UI" w:cs="Segoe UI"/>
      <w:sz w:val="18"/>
      <w:szCs w:val="18"/>
      <w:lang w:val="vi"/>
    </w:rPr>
  </w:style>
  <w:style w:type="character" w:customStyle="1" w:styleId="dieuCharChar">
    <w:name w:val="dieu Char Char"/>
    <w:rsid w:val="006178BC"/>
    <w:rPr>
      <w:b/>
      <w:color w:val="0000FF"/>
      <w:sz w:val="26"/>
      <w:szCs w:val="24"/>
      <w:lang w:val="en-US" w:eastAsia="en-US" w:bidi="ar-SA"/>
    </w:rPr>
  </w:style>
  <w:style w:type="paragraph" w:styleId="NormalWeb">
    <w:name w:val="Normal (Web)"/>
    <w:basedOn w:val="Normal"/>
    <w:uiPriority w:val="99"/>
    <w:unhideWhenUsed/>
    <w:rsid w:val="00625AEF"/>
    <w:pPr>
      <w:spacing w:before="100" w:beforeAutospacing="1" w:after="100" w:afterAutospacing="1"/>
    </w:pPr>
    <w:rPr>
      <w:sz w:val="24"/>
      <w:szCs w:val="24"/>
    </w:rPr>
  </w:style>
  <w:style w:type="character" w:customStyle="1" w:styleId="text">
    <w:name w:val="text"/>
    <w:basedOn w:val="DefaultParagraphFont"/>
    <w:rsid w:val="002A2380"/>
  </w:style>
  <w:style w:type="table" w:styleId="TableGrid">
    <w:name w:val="Table Grid"/>
    <w:basedOn w:val="TableNormal"/>
    <w:uiPriority w:val="39"/>
    <w:rsid w:val="002A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436"/>
    <w:rPr>
      <w:color w:val="0563C1" w:themeColor="hyperlink"/>
      <w:u w:val="single"/>
    </w:rPr>
  </w:style>
  <w:style w:type="character" w:customStyle="1" w:styleId="UnresolvedMention1">
    <w:name w:val="Unresolved Mention1"/>
    <w:basedOn w:val="DefaultParagraphFont"/>
    <w:uiPriority w:val="99"/>
    <w:semiHidden/>
    <w:unhideWhenUsed/>
    <w:rsid w:val="00DB5436"/>
    <w:rPr>
      <w:color w:val="605E5C"/>
      <w:shd w:val="clear" w:color="auto" w:fill="E1DFDD"/>
    </w:rPr>
  </w:style>
  <w:style w:type="character" w:customStyle="1" w:styleId="fontstyle21">
    <w:name w:val="fontstyle21"/>
    <w:basedOn w:val="DefaultParagraphFont"/>
    <w:rsid w:val="00F235B3"/>
    <w:rPr>
      <w:rFonts w:ascii="TimesNewRomanPS-BoldMT" w:hAnsi="TimesNewRomanPS-BoldMT" w:hint="default"/>
      <w:b/>
      <w:bCs/>
      <w:i w:val="0"/>
      <w:iCs w:val="0"/>
      <w:color w:val="000000"/>
      <w:sz w:val="14"/>
      <w:szCs w:val="1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AF5C73"/>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1071">
      <w:bodyDiv w:val="1"/>
      <w:marLeft w:val="0"/>
      <w:marRight w:val="0"/>
      <w:marTop w:val="0"/>
      <w:marBottom w:val="0"/>
      <w:divBdr>
        <w:top w:val="none" w:sz="0" w:space="0" w:color="auto"/>
        <w:left w:val="none" w:sz="0" w:space="0" w:color="auto"/>
        <w:bottom w:val="none" w:sz="0" w:space="0" w:color="auto"/>
        <w:right w:val="none" w:sz="0" w:space="0" w:color="auto"/>
      </w:divBdr>
    </w:div>
    <w:div w:id="1126851452">
      <w:bodyDiv w:val="1"/>
      <w:marLeft w:val="0"/>
      <w:marRight w:val="0"/>
      <w:marTop w:val="0"/>
      <w:marBottom w:val="0"/>
      <w:divBdr>
        <w:top w:val="none" w:sz="0" w:space="0" w:color="auto"/>
        <w:left w:val="none" w:sz="0" w:space="0" w:color="auto"/>
        <w:bottom w:val="none" w:sz="0" w:space="0" w:color="auto"/>
        <w:right w:val="none" w:sz="0" w:space="0" w:color="auto"/>
      </w:divBdr>
    </w:div>
    <w:div w:id="1169439981">
      <w:bodyDiv w:val="1"/>
      <w:marLeft w:val="0"/>
      <w:marRight w:val="0"/>
      <w:marTop w:val="0"/>
      <w:marBottom w:val="0"/>
      <w:divBdr>
        <w:top w:val="none" w:sz="0" w:space="0" w:color="auto"/>
        <w:left w:val="none" w:sz="0" w:space="0" w:color="auto"/>
        <w:bottom w:val="none" w:sz="0" w:space="0" w:color="auto"/>
        <w:right w:val="none" w:sz="0" w:space="0" w:color="auto"/>
      </w:divBdr>
    </w:div>
    <w:div w:id="19242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30B8-48E5-45A3-856C-96A3D034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12</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HIEP</dc:creator>
  <cp:keywords/>
  <dc:description/>
  <cp:lastModifiedBy>Hoàng Ân Nguyễn</cp:lastModifiedBy>
  <cp:revision>194</cp:revision>
  <dcterms:created xsi:type="dcterms:W3CDTF">2026-03-28T07:46:00Z</dcterms:created>
  <dcterms:modified xsi:type="dcterms:W3CDTF">2026-04-20T01:51:00Z</dcterms:modified>
</cp:coreProperties>
</file>